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0.0.0 -->
  <w:body>
    <w:tbl>
      <w:tblPr>
        <w:tblW w:w="9778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41"/>
        <w:gridCol w:w="2025"/>
        <w:gridCol w:w="312"/>
      </w:tblGrid>
      <w:tr>
        <w:tblPrEx>
          <w:tblW w:w="9778" w:type="dxa"/>
          <w:tblInd w:w="-70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90"/>
        </w:trPr>
        <w:tc>
          <w:tcPr>
            <w:tcW w:w="74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Standard"/>
              <w:snapToGrid w:val="0"/>
            </w:pPr>
          </w:p>
          <w:p w:rsidR="008F4EEB">
            <w:pPr>
              <w:pStyle w:val="Standard"/>
              <w:rPr>
                <w:b/>
              </w:rPr>
            </w:pPr>
          </w:p>
        </w:tc>
        <w:tc>
          <w:tcPr>
            <w:tcW w:w="20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4EEB">
            <w:pPr>
              <w:pStyle w:val="Standard"/>
              <w:jc w:val="center"/>
            </w:pPr>
            <w:bookmarkStart w:id="0" w:name="Copia"/>
            <w:r>
              <w:rPr>
                <w:b/>
              </w:rPr>
              <w:t>ORIGINALE</w:t>
            </w:r>
            <w:bookmarkEnd w:id="0"/>
          </w:p>
        </w:tc>
        <w:tc>
          <w:tcPr>
            <w:tcW w:w="3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4EEB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>
        <w:tblPrEx>
          <w:tblW w:w="9778" w:type="dxa"/>
          <w:tblInd w:w="-70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15"/>
        </w:trPr>
        <w:tc>
          <w:tcPr>
            <w:tcW w:w="74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Standard"/>
              <w:snapToGrid w:val="0"/>
              <w:rPr>
                <w:bCs/>
              </w:rPr>
            </w:pPr>
          </w:p>
        </w:tc>
        <w:tc>
          <w:tcPr>
            <w:tcW w:w="2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Standard"/>
              <w:snapToGrid w:val="0"/>
              <w:rPr>
                <w:bCs/>
              </w:rPr>
            </w:pPr>
          </w:p>
        </w:tc>
        <w:tc>
          <w:tcPr>
            <w:tcW w:w="3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Standard"/>
              <w:snapToGrid w:val="0"/>
              <w:rPr>
                <w:bCs/>
              </w:rPr>
            </w:pPr>
          </w:p>
        </w:tc>
      </w:tr>
      <w:tr>
        <w:tblPrEx>
          <w:tblW w:w="9778" w:type="dxa"/>
          <w:tblInd w:w="-70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977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Provincia di Torino   </w:t>
            </w:r>
          </w:p>
          <w:p w:rsidR="008F4EEB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________</w:t>
            </w:r>
          </w:p>
        </w:tc>
      </w:tr>
      <w:tr>
        <w:tblPrEx>
          <w:tblW w:w="9778" w:type="dxa"/>
          <w:tblInd w:w="-70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977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Title"/>
              <w:tabs>
                <w:tab w:val="left" w:pos="2127"/>
              </w:tabs>
            </w:pPr>
            <w:r>
              <w:rPr>
                <w:b w:val="0"/>
                <w:noProof/>
                <w:lang w:eastAsia="it-IT"/>
              </w:rPr>
              <w:drawing>
                <wp:inline distT="0" distB="0" distL="0" distR="0">
                  <wp:extent cx="807120" cy="1197720"/>
                  <wp:effectExtent l="0" t="0" r="0" b="2430"/>
                  <wp:docPr id="2012356285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lum/>
                            <a:alphaModFix amt="10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120" cy="1197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</w:rPr>
              <w:t xml:space="preserve">        </w:t>
            </w:r>
            <w:r>
              <w:rPr>
                <w:color w:val="000000"/>
              </w:rPr>
              <w:t>Città di Orbassano</w:t>
            </w:r>
          </w:p>
          <w:p w:rsidR="008F4EEB">
            <w:pPr>
              <w:pStyle w:val="Standard"/>
              <w:jc w:val="center"/>
            </w:pPr>
            <w:r>
              <w:t>____________________________</w:t>
            </w:r>
          </w:p>
        </w:tc>
      </w:tr>
    </w:tbl>
    <w:p w:rsidR="008F4EEB">
      <w:pPr>
        <w:pStyle w:val="Standard"/>
        <w:rPr>
          <w:b/>
          <w:bCs/>
        </w:rPr>
      </w:pPr>
    </w:p>
    <w:p w:rsidR="008F4EEB">
      <w:pPr>
        <w:pStyle w:val="Heading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VERBALE DI DELIBERAZIONE</w:t>
      </w:r>
    </w:p>
    <w:p w:rsidR="008F4EEB">
      <w:pPr>
        <w:pStyle w:val="Heading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DELLA GIUNTA COMUNALE</w:t>
      </w:r>
    </w:p>
    <w:p w:rsidR="008F4EEB">
      <w:pPr>
        <w:pStyle w:val="Standard"/>
        <w:jc w:val="center"/>
        <w:rPr>
          <w:b/>
          <w:bCs/>
        </w:rPr>
      </w:pPr>
    </w:p>
    <w:p w:rsidR="008F4EEB">
      <w:pPr>
        <w:pStyle w:val="Standard"/>
        <w:jc w:val="center"/>
        <w:rPr>
          <w:b/>
          <w:bCs/>
        </w:rPr>
      </w:pPr>
    </w:p>
    <w:tbl>
      <w:tblPr>
        <w:tblW w:w="9709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89"/>
        <w:gridCol w:w="4820"/>
      </w:tblGrid>
      <w:tr>
        <w:tblPrEx>
          <w:tblW w:w="9709" w:type="dxa"/>
          <w:tblInd w:w="-70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3"/>
              <w:snapToGrid w:val="0"/>
            </w:pPr>
          </w:p>
        </w:tc>
        <w:tc>
          <w:tcPr>
            <w:tcW w:w="48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8"/>
              <w:ind w:right="1205"/>
            </w:pPr>
            <w:r>
              <w:t xml:space="preserve">N° </w:t>
            </w:r>
            <w:bookmarkStart w:id="1" w:name="Numero_Delibera"/>
            <w:r>
              <w:t>145</w:t>
            </w:r>
            <w:bookmarkEnd w:id="1"/>
            <w:r>
              <w:t xml:space="preserve"> </w:t>
            </w:r>
          </w:p>
        </w:tc>
      </w:tr>
    </w:tbl>
    <w:p w:rsidR="008F4EEB">
      <w:pPr>
        <w:pStyle w:val="Standard"/>
        <w:rPr>
          <w:b/>
          <w:bCs/>
        </w:rPr>
      </w:pPr>
    </w:p>
    <w:p w:rsidR="008F4EEB">
      <w:pPr>
        <w:pStyle w:val="Standard"/>
        <w:rPr>
          <w:b/>
          <w:bCs/>
        </w:rPr>
      </w:pPr>
    </w:p>
    <w:tbl>
      <w:tblPr>
        <w:tblW w:w="9709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9"/>
        <w:gridCol w:w="8290"/>
      </w:tblGrid>
      <w:tr>
        <w:tblPrEx>
          <w:tblW w:w="9709" w:type="dxa"/>
          <w:tblInd w:w="-70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14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Standard"/>
              <w:ind w:right="-7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OGGETTO:</w:t>
            </w:r>
          </w:p>
        </w:tc>
        <w:tc>
          <w:tcPr>
            <w:tcW w:w="82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Standard"/>
              <w:jc w:val="both"/>
              <w:rPr>
                <w:b/>
                <w:bCs/>
              </w:rPr>
            </w:pPr>
            <w:bookmarkStart w:id="2" w:name="Oggetto1"/>
            <w:r>
              <w:rPr>
                <w:b/>
                <w:bCs/>
              </w:rPr>
              <w:t xml:space="preserve">VARIANTE AL P.E.C.L.I. DA REALIZZARSI NELLE AREE 12.1.2 – 12.1.2.1 DEL VIGENTE P.R.G.C. DEL COMUNE DI ORBASSANO DESTINATA AD INSEDIAMENTI TERZIARI E COMMERCIALI - SCHEMA DI CONVENZIONE: PRESA D’ATTO DEL RIBASSO PERCENTUALE DA APPLICARE ALL’IMPORTO DELLE OPERE DI URBANIZZAZIONE A SCOMPUTO E RECEPIMENTO DI MODIFICHE NON SOSTANZIALI </w:t>
            </w:r>
            <w:bookmarkEnd w:id="2"/>
          </w:p>
        </w:tc>
      </w:tr>
    </w:tbl>
    <w:p w:rsidR="008F4EEB">
      <w:pPr>
        <w:pStyle w:val="Standard"/>
        <w:rPr>
          <w:b/>
          <w:bCs/>
        </w:rPr>
      </w:pPr>
    </w:p>
    <w:p w:rsidR="008F4EEB">
      <w:pPr>
        <w:pStyle w:val="Standard"/>
        <w:rPr>
          <w:b/>
          <w:bCs/>
        </w:rPr>
      </w:pPr>
    </w:p>
    <w:p w:rsidR="008F4EEB">
      <w:pPr>
        <w:pStyle w:val="Standard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L'anno </w:t>
      </w:r>
      <w:bookmarkStart w:id="3" w:name="Anno_delibera"/>
      <w:r>
        <w:rPr>
          <w:color w:val="000000"/>
          <w:szCs w:val="24"/>
        </w:rPr>
        <w:t>duemilaventitre</w:t>
      </w:r>
      <w:bookmarkEnd w:id="3"/>
      <w:r>
        <w:rPr>
          <w:color w:val="000000"/>
          <w:szCs w:val="24"/>
        </w:rPr>
        <w:t xml:space="preserve">, addì </w:t>
      </w:r>
      <w:bookmarkStart w:id="4" w:name="Giorno_delibera"/>
      <w:r>
        <w:rPr>
          <w:color w:val="000000"/>
          <w:szCs w:val="24"/>
        </w:rPr>
        <w:t>ventitre</w:t>
      </w:r>
      <w:bookmarkEnd w:id="4"/>
      <w:r>
        <w:rPr>
          <w:color w:val="000000"/>
          <w:szCs w:val="24"/>
        </w:rPr>
        <w:t xml:space="preserve"> del mese di </w:t>
      </w:r>
      <w:bookmarkStart w:id="5" w:name="Mese_delibera"/>
      <w:r>
        <w:rPr>
          <w:color w:val="000000"/>
          <w:szCs w:val="24"/>
        </w:rPr>
        <w:t>Ottobre</w:t>
      </w:r>
      <w:bookmarkEnd w:id="5"/>
      <w:r>
        <w:rPr>
          <w:color w:val="000000"/>
          <w:szCs w:val="24"/>
        </w:rPr>
        <w:t xml:space="preserve"> alle ore </w:t>
      </w:r>
      <w:bookmarkStart w:id="6" w:name="Ora_delibera"/>
      <w:r>
        <w:rPr>
          <w:color w:val="000000"/>
          <w:szCs w:val="24"/>
        </w:rPr>
        <w:t>14:00</w:t>
      </w:r>
      <w:bookmarkEnd w:id="6"/>
      <w:r>
        <w:rPr>
          <w:color w:val="000000"/>
          <w:szCs w:val="24"/>
        </w:rPr>
        <w:t xml:space="preserve">, nella </w:t>
      </w:r>
      <w:bookmarkStart w:id="7" w:name="Sede_Consiglio"/>
      <w:r>
        <w:rPr>
          <w:color w:val="000000"/>
          <w:szCs w:val="24"/>
        </w:rPr>
        <w:t>solita sala delle adunanze</w:t>
      </w:r>
      <w:bookmarkEnd w:id="7"/>
      <w:r>
        <w:rPr>
          <w:color w:val="000000"/>
          <w:szCs w:val="24"/>
        </w:rPr>
        <w:t>, regolarmente convocata, si è riunita la Giunta Comunale nelle persone dei Signori:</w:t>
      </w:r>
    </w:p>
    <w:p w:rsidR="008F4EEB">
      <w:pPr>
        <w:pStyle w:val="Standard"/>
        <w:rPr>
          <w:b/>
          <w:bCs/>
        </w:rPr>
      </w:pPr>
    </w:p>
    <w:tbl>
      <w:tblPr>
        <w:tblW w:w="88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68"/>
        <w:gridCol w:w="2520"/>
        <w:gridCol w:w="1771"/>
      </w:tblGrid>
      <w:tr>
        <w:tblPrEx>
          <w:tblW w:w="8859" w:type="dxa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5"/>
            </w:pPr>
            <w:r>
              <w:t>Cognome e Nome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6"/>
            </w:pPr>
            <w:r>
              <w:t>Qualifica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6"/>
            </w:pPr>
            <w:r>
              <w:t>Firma</w:t>
            </w:r>
          </w:p>
          <w:p w:rsidR="008F4EEB">
            <w:pPr>
              <w:pStyle w:val="Heading6"/>
            </w:pPr>
            <w:r>
              <w:t>Presenze</w:t>
            </w:r>
          </w:p>
        </w:tc>
      </w:tr>
      <w:tr>
        <w:tblPrEx>
          <w:tblW w:w="8859" w:type="dxa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7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BOSSO CINZIA MARIA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6"/>
              <w:snapToGrid w:val="0"/>
            </w:pPr>
            <w:r>
              <w:t>Sindaco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Standard"/>
              <w:snapToGrid w:val="0"/>
              <w:jc w:val="center"/>
            </w:pPr>
            <w:r>
              <w:t>SI</w:t>
            </w:r>
          </w:p>
        </w:tc>
      </w:tr>
      <w:tr>
        <w:tblPrEx>
          <w:tblW w:w="8859" w:type="dxa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7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ZAFFINO MAURIZIO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6"/>
              <w:snapToGrid w:val="0"/>
            </w:pPr>
            <w:r>
              <w:t>Vice Sindaco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Standard"/>
              <w:snapToGrid w:val="0"/>
              <w:jc w:val="center"/>
            </w:pPr>
            <w:r>
              <w:t>SI</w:t>
            </w:r>
          </w:p>
        </w:tc>
      </w:tr>
      <w:tr>
        <w:tblPrEx>
          <w:tblW w:w="8859" w:type="dxa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7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MAROCCO PAOLO GIOVANNI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6"/>
              <w:snapToGrid w:val="0"/>
            </w:pPr>
            <w:r>
              <w:t>Assessore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Standard"/>
              <w:snapToGrid w:val="0"/>
              <w:jc w:val="center"/>
            </w:pPr>
            <w:r>
              <w:t>SI</w:t>
            </w:r>
          </w:p>
        </w:tc>
      </w:tr>
      <w:tr>
        <w:tblPrEx>
          <w:tblW w:w="8859" w:type="dxa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7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NAVA ANDREA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6"/>
              <w:snapToGrid w:val="0"/>
            </w:pPr>
            <w:r>
              <w:t>Assessore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Standard"/>
              <w:snapToGrid w:val="0"/>
              <w:jc w:val="center"/>
            </w:pPr>
            <w:r>
              <w:t>SI</w:t>
            </w:r>
          </w:p>
        </w:tc>
      </w:tr>
      <w:tr>
        <w:tblPrEx>
          <w:tblW w:w="8859" w:type="dxa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7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RUSSO ANTONINO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6"/>
              <w:snapToGrid w:val="0"/>
            </w:pPr>
            <w:r>
              <w:t>Assessore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Standard"/>
              <w:snapToGrid w:val="0"/>
              <w:jc w:val="center"/>
            </w:pPr>
            <w:r>
              <w:t>SI</w:t>
            </w:r>
          </w:p>
        </w:tc>
      </w:tr>
      <w:tr>
        <w:tblPrEx>
          <w:tblW w:w="8859" w:type="dxa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7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TAMBURELLO FRANCESCA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Heading6"/>
              <w:snapToGrid w:val="0"/>
            </w:pPr>
            <w:r>
              <w:t>Assessore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EEB">
            <w:pPr>
              <w:pStyle w:val="Standard"/>
              <w:snapToGrid w:val="0"/>
              <w:jc w:val="center"/>
            </w:pPr>
            <w:r>
              <w:t>SI</w:t>
            </w:r>
          </w:p>
        </w:tc>
      </w:tr>
    </w:tbl>
    <w:p w:rsidR="008F4EEB">
      <w:pPr>
        <w:pStyle w:val="Standard"/>
      </w:pPr>
    </w:p>
    <w:p w:rsidR="008F4EEB">
      <w:pPr>
        <w:pStyle w:val="Standard"/>
        <w:rPr>
          <w:b/>
          <w:bCs/>
        </w:rPr>
      </w:pPr>
    </w:p>
    <w:p w:rsidR="008F4EEB">
      <w:pPr>
        <w:pStyle w:val="Standard"/>
      </w:pPr>
      <w:r>
        <w:t xml:space="preserve">Assume la presidenza il </w:t>
      </w:r>
      <w:bookmarkStart w:id="8" w:name="Titolo_presidente"/>
      <w:r>
        <w:rPr>
          <w:color w:val="000000"/>
          <w:szCs w:val="24"/>
        </w:rPr>
        <w:t>Sindaco</w:t>
      </w:r>
      <w:bookmarkEnd w:id="8"/>
      <w:r>
        <w:rPr>
          <w:color w:val="000000"/>
          <w:szCs w:val="24"/>
        </w:rPr>
        <w:t xml:space="preserve"> </w:t>
      </w:r>
      <w:bookmarkStart w:id="9" w:name="Nome_presidente"/>
      <w:r>
        <w:rPr>
          <w:color w:val="000000"/>
          <w:szCs w:val="24"/>
        </w:rPr>
        <w:t>Bosso Cinzia Maria</w:t>
      </w:r>
      <w:bookmarkEnd w:id="9"/>
      <w:r>
        <w:rPr>
          <w:color w:val="000000"/>
          <w:szCs w:val="24"/>
        </w:rPr>
        <w:t>.</w:t>
      </w:r>
    </w:p>
    <w:p w:rsidR="008F4EEB">
      <w:pPr>
        <w:pStyle w:val="Standard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Assiste alla seduta </w:t>
      </w:r>
      <w:bookmarkStart w:id="10" w:name="Titolo"/>
      <w:r>
        <w:rPr>
          <w:color w:val="000000"/>
          <w:szCs w:val="24"/>
        </w:rPr>
        <w:t>Il Segretario Generale</w:t>
      </w:r>
      <w:bookmarkEnd w:id="10"/>
      <w:r>
        <w:rPr>
          <w:color w:val="000000"/>
          <w:szCs w:val="24"/>
        </w:rPr>
        <w:t xml:space="preserve"> </w:t>
      </w:r>
      <w:bookmarkStart w:id="11" w:name="Segretario"/>
      <w:r>
        <w:rPr>
          <w:color w:val="000000"/>
          <w:szCs w:val="24"/>
        </w:rPr>
        <w:t>Dr. Gerlando Luigi Russo</w:t>
      </w:r>
      <w:bookmarkEnd w:id="11"/>
      <w:r>
        <w:rPr>
          <w:color w:val="000000"/>
          <w:szCs w:val="24"/>
        </w:rPr>
        <w:t>.</w:t>
      </w:r>
    </w:p>
    <w:p w:rsidR="008F4EEB">
      <w:pPr>
        <w:pStyle w:val="Standard"/>
      </w:pPr>
      <w:r>
        <w:t>Il Presidente, riconosciuta legale l' adunanza, dichiara aperta la seduta.</w:t>
      </w:r>
    </w:p>
    <w:p w:rsidR="008F4EEB">
      <w:pPr>
        <w:pStyle w:val="Standard"/>
        <w:jc w:val="both"/>
        <w:rPr>
          <w:b/>
          <w:bCs/>
        </w:rPr>
      </w:pPr>
    </w:p>
    <w:p w:rsidR="008F4EEB">
      <w:pPr>
        <w:pStyle w:val="Standard"/>
        <w:pageBreakBefore/>
        <w:jc w:val="both"/>
        <w:rPr>
          <w:b/>
          <w:bCs/>
        </w:rPr>
      </w:pPr>
    </w:p>
    <w:p w:rsidR="008F4EEB">
      <w:pPr>
        <w:pStyle w:val="Standard"/>
        <w:autoSpaceDE w:val="0"/>
        <w:spacing w:line="240" w:lineRule="atLeast"/>
        <w:jc w:val="center"/>
        <w:rPr>
          <w:sz w:val="20"/>
        </w:rPr>
      </w:pPr>
      <w:r>
        <w:rPr>
          <w:sz w:val="20"/>
        </w:rPr>
        <w:t xml:space="preserve">Deliberazione della Giunta Comunale n. </w:t>
      </w:r>
      <w:bookmarkStart w:id="12" w:name="DL_Numero2"/>
      <w:r>
        <w:rPr>
          <w:sz w:val="20"/>
        </w:rPr>
        <w:t>145</w:t>
      </w:r>
      <w:bookmarkEnd w:id="12"/>
      <w:r>
        <w:rPr>
          <w:sz w:val="20"/>
        </w:rPr>
        <w:t xml:space="preserve"> del </w:t>
      </w:r>
      <w:bookmarkStart w:id="13" w:name="Data_consiglio"/>
      <w:r>
        <w:rPr>
          <w:sz w:val="20"/>
        </w:rPr>
        <w:t>23/10/2023</w:t>
      </w:r>
      <w:bookmarkEnd w:id="13"/>
    </w:p>
    <w:p w:rsidR="008F4EEB">
      <w:pPr>
        <w:pStyle w:val="Standard"/>
        <w:autoSpaceDE w:val="0"/>
        <w:spacing w:line="240" w:lineRule="atLeast"/>
        <w:rPr>
          <w:b/>
          <w:bCs/>
        </w:rPr>
      </w:pPr>
    </w:p>
    <w:p w:rsidR="008F4EEB">
      <w:pPr>
        <w:pStyle w:val="Standard"/>
        <w:autoSpaceDE w:val="0"/>
        <w:spacing w:line="240" w:lineRule="atLeast"/>
        <w:jc w:val="both"/>
      </w:pPr>
      <w:r>
        <w:rPr>
          <w:b/>
          <w:bCs/>
          <w:color w:val="000000"/>
          <w:szCs w:val="24"/>
        </w:rPr>
        <w:t>OGGETTO:</w:t>
      </w:r>
      <w:r>
        <w:rPr>
          <w:b/>
          <w:bCs/>
          <w:color w:val="000000"/>
        </w:rPr>
        <w:t xml:space="preserve"> </w:t>
      </w:r>
      <w:bookmarkStart w:id="14" w:name="Oggetto"/>
      <w:r>
        <w:rPr>
          <w:b/>
          <w:bCs/>
          <w:color w:val="000000"/>
        </w:rPr>
        <w:t xml:space="preserve">VARIANTE AL P.E.C.L.I. DA REALIZZARSI NELLE AREE 12.1.2 – 12.1.2.1 DEL VIGENTE P.R.G.C. DEL COMUNE DI ORBASSANO DESTINATA AD INSEDIAMENTI TERZIARI E COMMERCIALI - SCHEMA DI CONVENZIONE: PRESA D’ATTO DEL RIBASSO PERCENTUALE DA APPLICARE ALL’IMPORTO DELLE OPERE DI URBANIZZAZIONE A SCOMPUTO E RECEPIMENTO DI MODIFICHE NON SOSTANZIALI </w:t>
      </w:r>
      <w:bookmarkEnd w:id="14"/>
    </w:p>
    <w:p w:rsidR="008F4EEB">
      <w:pPr>
        <w:pStyle w:val="Standard"/>
        <w:autoSpaceDE w:val="0"/>
        <w:spacing w:line="240" w:lineRule="atLeast"/>
        <w:rPr>
          <w:b/>
          <w:bCs/>
          <w:color w:val="000000"/>
          <w:szCs w:val="24"/>
        </w:rPr>
      </w:pPr>
    </w:p>
    <w:p w:rsidR="008F4EEB">
      <w:pPr>
        <w:pStyle w:val="Standard"/>
        <w:autoSpaceDE w:val="0"/>
        <w:spacing w:line="240" w:lineRule="atLeast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LA GIUNTA COMUNALE</w:t>
      </w:r>
    </w:p>
    <w:p w:rsidR="008F4EEB">
      <w:pPr>
        <w:pStyle w:val="Standard"/>
        <w:rPr>
          <w:b/>
          <w:bCs/>
        </w:rPr>
      </w:pPr>
    </w:p>
    <w:p w:rsidR="0022744B" w:rsidP="0022744B">
      <w:pPr>
        <w:pStyle w:val="Standard"/>
        <w:rPr>
          <w:rFonts w:eastAsia="MS Mincho" w:cs="Garamond"/>
          <w:color w:val="000000"/>
        </w:rPr>
      </w:pPr>
      <w:bookmarkStart w:id="15" w:name="Testo_Proposta"/>
    </w:p>
    <w:p w:rsidR="0022744B" w:rsidP="0022744B">
      <w:pPr>
        <w:spacing w:after="120" w:line="276" w:lineRule="auto"/>
        <w:textAlignment w:val="auto"/>
        <w:rPr>
          <w:rFonts w:eastAsia="MS Mincho" w:cs="Garamond"/>
          <w:color w:val="000000"/>
        </w:rPr>
      </w:pPr>
      <w:r>
        <w:rPr>
          <w:rFonts w:eastAsia="MS Mincho" w:cs="Garamond"/>
          <w:b/>
          <w:color w:val="000000"/>
        </w:rPr>
        <w:t>Premesso</w:t>
      </w:r>
      <w:r>
        <w:rPr>
          <w:rFonts w:eastAsia="MS Mincho" w:cs="Garamond"/>
          <w:color w:val="000000"/>
        </w:rPr>
        <w:t xml:space="preserve"> che:</w:t>
      </w:r>
    </w:p>
    <w:p w:rsidR="0022744B" w:rsidRPr="00BE3038" w:rsidP="0022744B">
      <w:pPr>
        <w:pStyle w:val="ListParagraph"/>
        <w:numPr>
          <w:ilvl w:val="0"/>
          <w:numId w:val="2"/>
        </w:numPr>
        <w:spacing w:after="120" w:line="276" w:lineRule="auto"/>
        <w:jc w:val="both"/>
        <w:textAlignment w:val="auto"/>
        <w:rPr>
          <w:rFonts w:ascii="Bookman Old Style" w:eastAsia="MS Mincho" w:hAnsi="Bookman Old Style" w:cs="Garamond"/>
          <w:color w:val="000000"/>
          <w:lang w:eastAsia="zh-CN" w:bidi="hi-IN"/>
        </w:rPr>
      </w:pPr>
      <w:r w:rsidRPr="00BE3038">
        <w:rPr>
          <w:rFonts w:ascii="Bookman Old Style" w:eastAsia="MS Mincho" w:hAnsi="Bookman Old Style" w:cs="Garamond"/>
          <w:color w:val="000000"/>
          <w:lang w:eastAsia="zh-CN" w:bidi="hi-IN"/>
        </w:rPr>
        <w:t>con D.G.C. 214 del 12/12/2022 è stato approvato il progetto e relativo Schema di convenzione della Variante al Piano Esecutivo Convenzionato di Libera Iniziativa (PECLI) da realizzarsi nelle aree 12.1.2 – 12.1.2.1 del vigente P.R.G.C. del Comune di Orbassano destinata ad insediamenti terziari commerciali;</w:t>
      </w:r>
    </w:p>
    <w:p w:rsidR="0022744B" w:rsidRPr="00BE3038" w:rsidP="0022744B">
      <w:pPr>
        <w:pStyle w:val="ListParagraph"/>
        <w:numPr>
          <w:ilvl w:val="0"/>
          <w:numId w:val="2"/>
        </w:numPr>
        <w:spacing w:after="120" w:line="276" w:lineRule="auto"/>
        <w:jc w:val="both"/>
        <w:textAlignment w:val="auto"/>
        <w:rPr>
          <w:rFonts w:ascii="Bookman Old Style" w:eastAsia="MS Mincho" w:hAnsi="Bookman Old Style" w:cs="Garamond"/>
          <w:color w:val="000000"/>
          <w:lang w:eastAsia="zh-CN" w:bidi="hi-IN"/>
        </w:rPr>
      </w:pPr>
      <w:r>
        <w:rPr>
          <w:rFonts w:ascii="Bookman Old Style" w:eastAsia="MS Mincho" w:hAnsi="Bookman Old Style" w:cs="Garamond"/>
          <w:color w:val="000000"/>
          <w:lang w:eastAsia="zh-CN" w:bidi="hi-IN"/>
        </w:rPr>
        <w:t>tale Strumento urbanistico esecutivo annovera, tra la documentazione parte integrante, l’elaborato “Allegato 8 - Schema di Convenzione”;</w:t>
      </w:r>
    </w:p>
    <w:p w:rsidR="0022744B" w:rsidRPr="005620CC" w:rsidP="0022744B">
      <w:pPr>
        <w:pStyle w:val="ListParagraph"/>
        <w:numPr>
          <w:ilvl w:val="0"/>
          <w:numId w:val="2"/>
        </w:numPr>
        <w:spacing w:after="120" w:line="276" w:lineRule="auto"/>
        <w:jc w:val="both"/>
        <w:textAlignment w:val="auto"/>
        <w:rPr>
          <w:rFonts w:ascii="Bookman Old Style" w:eastAsia="MS Mincho" w:hAnsi="Bookman Old Style" w:cs="Garamond"/>
          <w:color w:val="000000"/>
          <w:lang w:eastAsia="zh-CN" w:bidi="hi-IN"/>
        </w:rPr>
      </w:pPr>
      <w:r w:rsidRPr="005620CC">
        <w:rPr>
          <w:rFonts w:ascii="Bookman Old Style" w:eastAsia="MS Mincho" w:hAnsi="Bookman Old Style" w:cs="Garamond"/>
          <w:color w:val="000000"/>
          <w:lang w:eastAsia="zh-CN" w:bidi="hi-IN"/>
        </w:rPr>
        <w:t>a seguito dell’approvazione della Variante ai PECLI succitata il Proponente ha richiesto di poter procedere con la stipula della Convenzione;</w:t>
      </w:r>
    </w:p>
    <w:p w:rsidR="0022744B" w:rsidP="0022744B">
      <w:pPr>
        <w:spacing w:after="120" w:line="276" w:lineRule="auto"/>
        <w:textAlignment w:val="auto"/>
        <w:rPr>
          <w:rFonts w:eastAsia="MS Mincho" w:cs="Garamond"/>
          <w:b/>
          <w:color w:val="000000"/>
        </w:rPr>
      </w:pPr>
    </w:p>
    <w:p w:rsidR="0022744B" w:rsidP="0022744B">
      <w:pPr>
        <w:spacing w:after="120" w:line="276" w:lineRule="auto"/>
        <w:textAlignment w:val="auto"/>
        <w:rPr>
          <w:rFonts w:eastAsia="MS Mincho" w:cs="Garamond"/>
          <w:b/>
          <w:color w:val="000000"/>
        </w:rPr>
      </w:pPr>
      <w:r>
        <w:rPr>
          <w:rFonts w:eastAsia="MS Mincho" w:cs="Garamond"/>
          <w:b/>
          <w:color w:val="000000"/>
        </w:rPr>
        <w:t>Considerato che:</w:t>
      </w:r>
    </w:p>
    <w:p w:rsidR="0022744B" w:rsidRPr="00555CF8" w:rsidP="0022744B">
      <w:pPr>
        <w:pStyle w:val="ListParagraph"/>
        <w:numPr>
          <w:ilvl w:val="0"/>
          <w:numId w:val="2"/>
        </w:numPr>
        <w:spacing w:after="120" w:line="276" w:lineRule="auto"/>
        <w:jc w:val="both"/>
        <w:textAlignment w:val="auto"/>
        <w:rPr>
          <w:rFonts w:ascii="Bookman Old Style" w:eastAsia="MS Mincho" w:hAnsi="Bookman Old Style" w:cs="Garamond"/>
          <w:color w:val="000000"/>
          <w:lang w:eastAsia="zh-CN" w:bidi="hi-IN"/>
        </w:rPr>
      </w:pPr>
      <w:r w:rsidRPr="00555CF8">
        <w:rPr>
          <w:rFonts w:ascii="Bookman Old Style" w:eastAsia="MS Mincho" w:hAnsi="Bookman Old Style" w:cs="Garamond"/>
          <w:color w:val="000000"/>
          <w:lang w:eastAsia="zh-CN" w:bidi="hi-IN"/>
        </w:rPr>
        <w:t xml:space="preserve">l’art. 11 dello Schema di convenzione della Variante al PECLI 12.1.2 ad oggetto: “Opere di urbanizzazione primaria sotto soglia, funzionali all’intervento, a scomputo degli oneri” riporta la seguente dicitura </w:t>
      </w:r>
      <w:r w:rsidRPr="00555CF8">
        <w:rPr>
          <w:rFonts w:ascii="Bookman Old Style" w:eastAsia="MS Mincho" w:hAnsi="Bookman Old Style" w:cs="Garamond"/>
          <w:i/>
          <w:color w:val="000000"/>
          <w:lang w:eastAsia="zh-CN" w:bidi="hi-IN"/>
        </w:rPr>
        <w:t>“All’importo delle opere di urbanizzazione a scomputo, relativamente alla quota lavori, esclusi oneri della sicurezza del QTE, dovrà essere applicato un ribasso pari al  ……. determinato dal Servizio Opere Pubbliche e calcolato sulla media dei ribassi ottenuti negli ultimi 5 anni precedenti quello di presentazione del PECLI in appalti di natura analoga</w:t>
      </w:r>
      <w:r w:rsidRPr="00555CF8">
        <w:rPr>
          <w:rFonts w:ascii="Bookman Old Style" w:eastAsia="MS Mincho" w:hAnsi="Bookman Old Style" w:cs="Garamond"/>
          <w:color w:val="000000"/>
          <w:lang w:eastAsia="zh-CN" w:bidi="hi-IN"/>
        </w:rPr>
        <w:t>”;</w:t>
      </w:r>
    </w:p>
    <w:p w:rsidR="0022744B" w:rsidRPr="00CF1086" w:rsidP="0022744B">
      <w:pPr>
        <w:pStyle w:val="ListParagraph"/>
        <w:numPr>
          <w:ilvl w:val="0"/>
          <w:numId w:val="2"/>
        </w:numPr>
        <w:spacing w:after="120" w:line="276" w:lineRule="auto"/>
        <w:jc w:val="both"/>
        <w:textAlignment w:val="auto"/>
        <w:rPr>
          <w:rFonts w:ascii="Bookman Old Style" w:eastAsia="MS Mincho" w:hAnsi="Bookman Old Style" w:cs="Garamond"/>
          <w:color w:val="000000"/>
          <w:lang w:eastAsia="zh-CN" w:bidi="hi-IN"/>
        </w:rPr>
      </w:pPr>
      <w:r w:rsidRPr="00CF1086">
        <w:rPr>
          <w:rFonts w:ascii="Bookman Old Style" w:eastAsia="MS Mincho" w:hAnsi="Bookman Old Style" w:cs="Garamond"/>
          <w:color w:val="000000"/>
          <w:lang w:eastAsia="zh-CN" w:bidi="hi-IN"/>
        </w:rPr>
        <w:t xml:space="preserve">in detta fase di confronto col Proponente è emersa la necessità di correggere un errore materiale trasposto dalla “Convenzione tipo” e che attiene alla corretta individuazione del periodo di riferimento per il calcolo della media dei ribassi di cui sopra;  </w:t>
      </w:r>
    </w:p>
    <w:p w:rsidR="0022744B" w:rsidP="0022744B">
      <w:pPr>
        <w:spacing w:after="120" w:line="276" w:lineRule="auto"/>
        <w:textAlignment w:val="auto"/>
        <w:rPr>
          <w:rFonts w:eastAsia="Times New Roman" w:cs="Bookman Old Style"/>
        </w:rPr>
      </w:pPr>
    </w:p>
    <w:p w:rsidR="0022744B" w:rsidP="0022744B">
      <w:pPr>
        <w:spacing w:after="120" w:line="276" w:lineRule="auto"/>
        <w:textAlignment w:val="auto"/>
        <w:rPr>
          <w:rFonts w:eastAsia="MS Mincho" w:cs="Garamond"/>
          <w:color w:val="000000"/>
        </w:rPr>
      </w:pPr>
      <w:r w:rsidRPr="00547903">
        <w:rPr>
          <w:rFonts w:eastAsia="MS Mincho" w:cs="Garamond"/>
          <w:b/>
          <w:color w:val="000000"/>
        </w:rPr>
        <w:t>Ritenuto</w:t>
      </w:r>
      <w:r>
        <w:rPr>
          <w:rFonts w:eastAsia="MS Mincho" w:cs="Garamond"/>
          <w:color w:val="000000"/>
        </w:rPr>
        <w:t xml:space="preserve"> necessario procedere alla stipula delle Convenzioni e pertanto prendere atto:</w:t>
      </w:r>
    </w:p>
    <w:p w:rsidR="0022744B" w:rsidRPr="00547903" w:rsidP="0022744B">
      <w:pPr>
        <w:pStyle w:val="ListParagraph"/>
        <w:numPr>
          <w:ilvl w:val="0"/>
          <w:numId w:val="3"/>
        </w:numPr>
        <w:spacing w:after="120" w:line="276" w:lineRule="auto"/>
        <w:jc w:val="both"/>
        <w:textAlignment w:val="auto"/>
        <w:rPr>
          <w:rFonts w:ascii="Bookman Old Style" w:eastAsia="MS Mincho" w:hAnsi="Bookman Old Style" w:cs="Garamond"/>
          <w:color w:val="000000"/>
          <w:lang w:eastAsia="zh-CN" w:bidi="hi-IN"/>
        </w:rPr>
      </w:pPr>
      <w:r>
        <w:rPr>
          <w:rFonts w:ascii="Bookman Old Style" w:eastAsia="MS Mincho" w:hAnsi="Bookman Old Style" w:cs="Garamond"/>
          <w:color w:val="000000"/>
          <w:lang w:eastAsia="zh-CN" w:bidi="hi-IN"/>
        </w:rPr>
        <w:t>della percentuale di ribasso da utilizzare per il calcolo definitivo dell’importo degli oneri di urbanizzazione di cui al succitato articolo;</w:t>
      </w:r>
    </w:p>
    <w:p w:rsidR="0022744B" w:rsidRPr="000F327B" w:rsidP="0022744B">
      <w:pPr>
        <w:pStyle w:val="ListParagraph"/>
        <w:numPr>
          <w:ilvl w:val="0"/>
          <w:numId w:val="3"/>
        </w:numPr>
        <w:spacing w:after="120" w:line="276" w:lineRule="auto"/>
        <w:jc w:val="both"/>
        <w:textAlignment w:val="auto"/>
        <w:rPr>
          <w:rFonts w:ascii="Bookman Old Style" w:eastAsia="MS Mincho" w:hAnsi="Bookman Old Style" w:cs="Garamond"/>
          <w:color w:val="000000"/>
          <w:lang w:eastAsia="zh-CN" w:bidi="hi-IN"/>
        </w:rPr>
      </w:pPr>
      <w:r>
        <w:rPr>
          <w:rFonts w:ascii="Bookman Old Style" w:eastAsia="Times New Roman" w:hAnsi="Bookman Old Style" w:cs="Bookman Old Style"/>
        </w:rPr>
        <w:t xml:space="preserve">della correzione dell’errore materiale, già presente nell’articolo dello “Schema di convenzione tipo” in uso avente medesimo oggetto, con riferimento all’art.11 dello Schema di convenzione </w:t>
      </w:r>
      <w:r w:rsidRPr="00BB5CBB">
        <w:rPr>
          <w:rFonts w:ascii="Bookman Old Style" w:eastAsia="MS Mincho" w:hAnsi="Bookman Old Style" w:cs="Garamond"/>
          <w:color w:val="000000"/>
          <w:lang w:eastAsia="zh-CN" w:bidi="hi-IN"/>
        </w:rPr>
        <w:t>della Variante al PECLI  12.1.2 approvato con D.G.C. 214 del 12/12/2022 che prevede quale criterio di calcolo della percentuale di ribasso la media dei ribassi ottenuti negli ultimi 5 anni precedenti quello di “</w:t>
      </w:r>
      <w:r w:rsidRPr="00BB5CBB">
        <w:rPr>
          <w:rFonts w:ascii="Bookman Old Style" w:eastAsia="MS Mincho" w:hAnsi="Bookman Old Style" w:cs="Garamond"/>
          <w:i/>
          <w:color w:val="000000"/>
        </w:rPr>
        <w:t>presentazione del PECLI”</w:t>
      </w:r>
      <w:r w:rsidRPr="000F327B">
        <w:rPr>
          <w:rFonts w:ascii="Bookman Old Style" w:eastAsia="MS Mincho" w:hAnsi="Bookman Old Style" w:cs="Garamond"/>
          <w:color w:val="000000"/>
          <w:lang w:eastAsia="zh-CN" w:bidi="hi-IN"/>
        </w:rPr>
        <w:t xml:space="preserve"> modificando la modalità di calcolo con riferimento agli ultimi 5 anni precedenti quello di </w:t>
      </w:r>
      <w:r w:rsidRPr="000F327B">
        <w:rPr>
          <w:rFonts w:ascii="Bookman Old Style" w:eastAsia="MS Mincho" w:hAnsi="Bookman Old Style" w:cs="Garamond"/>
          <w:i/>
          <w:color w:val="000000"/>
          <w:lang w:eastAsia="zh-CN" w:bidi="hi-IN"/>
        </w:rPr>
        <w:t>“stipula della presente Convenzione”;</w:t>
      </w:r>
      <w:r w:rsidRPr="000F327B">
        <w:rPr>
          <w:rFonts w:ascii="Bookman Old Style" w:hAnsi="Bookman Old Style" w:cs="Arial"/>
          <w:bCs/>
          <w:iCs/>
        </w:rPr>
        <w:t xml:space="preserve"> </w:t>
      </w:r>
    </w:p>
    <w:p w:rsidR="0022744B" w:rsidRPr="000F327B" w:rsidP="0022744B">
      <w:pPr>
        <w:pStyle w:val="WW-Predefinito"/>
        <w:numPr>
          <w:ilvl w:val="0"/>
          <w:numId w:val="4"/>
        </w:numPr>
        <w:spacing w:after="120" w:line="276" w:lineRule="auto"/>
        <w:ind w:left="709" w:hanging="357"/>
        <w:jc w:val="both"/>
        <w:rPr>
          <w:rFonts w:ascii="Bookman Old Style" w:hAnsi="Bookman Old Style" w:cs="Arial"/>
          <w:bCs/>
          <w:iCs/>
          <w:u w:val="none"/>
        </w:rPr>
      </w:pPr>
      <w:r w:rsidRPr="000F327B">
        <w:rPr>
          <w:rFonts w:ascii="Bookman Old Style" w:hAnsi="Bookman Old Style" w:cs="Arial"/>
          <w:bCs/>
          <w:iCs/>
          <w:u w:val="none"/>
        </w:rPr>
        <w:t xml:space="preserve">delle modifiche non sostanziali consistenti nella correzione dei riferimenti catastali e delle superfici come ridefiniti a seguito della presentazione del nuovo frazionamento catastale n. TO0204153 approvato in data 18/07/2023 finalizzato alla dismissione/assoggettamento delle aree previste dalla suddetta variante, come meglio illustrato nella documentazione esplicativa e di verifica del rispetto dei parametri urbanistici trasmessa dalla Proponente, ns. prot. 33529 del 19/10/2023, costituita dai seguenti elaborati: “Tavola comparativa di raccordo tra la Variante al PECLI approvata con D.G.C. 214 del 12/12/2022 e i dati catastali del frazionamento TO0204153 approvato il 08/07/2023” e “Relazione comparativa di raccordo tra la Variante al PECLI approvata con D.G.C. 214 del 12/12/2022 e i dati catastali del frazionamento TO0204153 approvato il 08/07/2023” e relativi allegati;  </w:t>
      </w:r>
    </w:p>
    <w:p w:rsidR="0022744B" w:rsidRPr="000F327B" w:rsidP="0022744B">
      <w:pPr>
        <w:pStyle w:val="ListParagraph"/>
        <w:numPr>
          <w:ilvl w:val="0"/>
          <w:numId w:val="3"/>
        </w:numPr>
        <w:spacing w:after="120" w:line="276" w:lineRule="auto"/>
        <w:jc w:val="both"/>
        <w:textAlignment w:val="auto"/>
        <w:rPr>
          <w:rFonts w:ascii="Bookman Old Style" w:eastAsia="MS Mincho" w:hAnsi="Bookman Old Style" w:cs="Garamond"/>
          <w:color w:val="000000"/>
          <w:lang w:eastAsia="zh-CN" w:bidi="hi-IN"/>
        </w:rPr>
      </w:pPr>
      <w:r w:rsidRPr="000F327B">
        <w:rPr>
          <w:rFonts w:ascii="Bookman Old Style" w:eastAsia="Times New Roman" w:hAnsi="Bookman Old Style" w:cs="Bookman Old Style"/>
        </w:rPr>
        <w:t>con l’occasione, della correzione di alcuni modesti refusi e imprecisioni dello Schema di Convenzione in argomento;</w:t>
      </w:r>
    </w:p>
    <w:p w:rsidR="0022744B" w:rsidRPr="008140B3" w:rsidP="0022744B">
      <w:pPr>
        <w:pStyle w:val="ListParagraph"/>
        <w:spacing w:after="120" w:line="276" w:lineRule="auto"/>
        <w:jc w:val="both"/>
        <w:textAlignment w:val="auto"/>
        <w:rPr>
          <w:rFonts w:ascii="Bookman Old Style" w:eastAsia="MS Mincho" w:hAnsi="Bookman Old Style" w:cs="Garamond"/>
          <w:color w:val="000000"/>
          <w:lang w:eastAsia="zh-CN" w:bidi="hi-IN"/>
        </w:rPr>
      </w:pPr>
    </w:p>
    <w:p w:rsidR="0022744B" w:rsidRPr="009D31A7" w:rsidP="0022744B">
      <w:pPr>
        <w:pStyle w:val="ListParagraph"/>
        <w:spacing w:after="120" w:line="276" w:lineRule="auto"/>
        <w:ind w:left="0"/>
        <w:jc w:val="both"/>
        <w:rPr>
          <w:rFonts w:ascii="Bookman Old Style" w:eastAsia="MS Mincho" w:hAnsi="Bookman Old Style" w:cs="Garamond"/>
          <w:color w:val="000000"/>
          <w:lang w:eastAsia="zh-CN" w:bidi="hi-IN"/>
        </w:rPr>
      </w:pPr>
      <w:r w:rsidRPr="009D31A7">
        <w:rPr>
          <w:rFonts w:ascii="Bookman Old Style" w:eastAsia="MS Mincho" w:hAnsi="Bookman Old Style" w:cs="Garamond"/>
          <w:b/>
          <w:color w:val="000000"/>
          <w:lang w:eastAsia="zh-CN" w:bidi="hi-IN"/>
        </w:rPr>
        <w:t>Ritenuto inoltre</w:t>
      </w:r>
      <w:r w:rsidRPr="009D31A7">
        <w:rPr>
          <w:rFonts w:ascii="Bookman Old Style" w:eastAsia="MS Mincho" w:hAnsi="Bookman Old Style" w:cs="Garamond"/>
          <w:color w:val="000000"/>
          <w:lang w:eastAsia="zh-CN" w:bidi="hi-IN"/>
        </w:rPr>
        <w:t xml:space="preserve"> opportuno apportare allo “Schema di convenzione tipo”, utilizzato come documento di lavoro base per la redazione degli analoghi elaborati allegati agli Strumenti Urbanistici Esecutivi e ai Permessi Convenzionati le medesime correzioni emerse in sede di revisione finale della convenzione oggetto della presente deliberazione propedeutica alla stipula; </w:t>
      </w:r>
    </w:p>
    <w:p w:rsidR="0022744B" w:rsidP="0022744B">
      <w:pPr>
        <w:spacing w:after="120" w:line="276" w:lineRule="auto"/>
        <w:rPr>
          <w:rFonts w:eastAsia="Times New Roman" w:cs="Bookman Old Style"/>
          <w:highlight w:val="yellow"/>
        </w:rPr>
      </w:pPr>
    </w:p>
    <w:p w:rsidR="0022744B" w:rsidRPr="00555CF8" w:rsidP="0022744B">
      <w:pPr>
        <w:spacing w:after="120" w:line="276" w:lineRule="auto"/>
        <w:rPr>
          <w:rFonts w:eastAsia="Times New Roman" w:cs="Bookman Old Style"/>
        </w:rPr>
      </w:pPr>
      <w:r w:rsidRPr="00555CF8">
        <w:rPr>
          <w:rFonts w:eastAsia="Times New Roman" w:cs="Bookman Old Style"/>
          <w:b/>
        </w:rPr>
        <w:t>Verificato</w:t>
      </w:r>
      <w:r w:rsidRPr="00555CF8">
        <w:rPr>
          <w:rFonts w:eastAsia="Times New Roman" w:cs="Bookman Old Style"/>
        </w:rPr>
        <w:t xml:space="preserve"> che:</w:t>
      </w:r>
    </w:p>
    <w:p w:rsidR="0022744B" w:rsidRPr="00C40E6C" w:rsidP="0022744B">
      <w:pPr>
        <w:spacing w:after="120" w:line="276" w:lineRule="auto"/>
        <w:rPr>
          <w:rFonts w:eastAsia="Times New Roman" w:cs="Bookman Old Style"/>
          <w:i/>
        </w:rPr>
      </w:pPr>
      <w:r w:rsidRPr="00555CF8">
        <w:rPr>
          <w:rFonts w:eastAsia="Times New Roman" w:cs="Bookman Old Style"/>
        </w:rPr>
        <w:t xml:space="preserve">ai sensi dell’art. 23 </w:t>
      </w:r>
      <w:r w:rsidRPr="00555CF8">
        <w:rPr>
          <w:rFonts w:eastAsia="Times New Roman" w:cs="Bookman Old Style"/>
          <w:i/>
        </w:rPr>
        <w:t>“Varianti al piano esecutivo”</w:t>
      </w:r>
      <w:r w:rsidRPr="00555CF8">
        <w:rPr>
          <w:rFonts w:eastAsia="Times New Roman" w:cs="Bookman Old Style"/>
        </w:rPr>
        <w:t xml:space="preserve"> dello Schema di convenzione dette integrazioni e correzioni non costituiscono variante in quanto non comportano “</w:t>
      </w:r>
      <w:r>
        <w:rPr>
          <w:rFonts w:eastAsia="Times New Roman" w:cs="Bookman Old Style"/>
          <w:i/>
        </w:rPr>
        <w:t>modificazioni planivolumetriche che non alterino significativamente l’assetto progettuale e le caratteristiche tipologiche previste negli elaborati grafici e nelle norme di attuazione del piano esecutivo, non incidano sul dimensionamento globale degli insediamenti e non diminuiscano la dotazione di aree per servizi pubblici, di uso pubblico e a vincolo di destinazione pubblica.”;</w:t>
      </w:r>
    </w:p>
    <w:p w:rsidR="0022744B" w:rsidP="0022744B">
      <w:pPr>
        <w:spacing w:after="120" w:line="276" w:lineRule="auto"/>
        <w:textAlignment w:val="auto"/>
        <w:rPr>
          <w:rFonts w:eastAsia="MS Mincho" w:cs="Garamond"/>
          <w:color w:val="000000"/>
        </w:rPr>
      </w:pPr>
    </w:p>
    <w:p w:rsidR="0022744B" w:rsidRPr="00547903" w:rsidP="0022744B">
      <w:pPr>
        <w:spacing w:after="120" w:line="276" w:lineRule="auto"/>
        <w:textAlignment w:val="auto"/>
        <w:rPr>
          <w:rFonts w:eastAsia="MS Mincho" w:cs="Garamond"/>
          <w:color w:val="000000"/>
        </w:rPr>
      </w:pPr>
      <w:r>
        <w:rPr>
          <w:rFonts w:eastAsia="MS Mincho" w:cs="Garamond"/>
          <w:color w:val="000000"/>
        </w:rPr>
        <w:t xml:space="preserve">Al fine di procedere con la sottoscrizione della Convenzione relativa alla Variante al Piano Esecutivo Convenzionato di Libera Iniziativa da realizzarsi nelle aree 12.1.2 – 12.1.2.1 del vigente P.R.G.C., con nota prot. 25642 del 31/07/2023 è stata richiesta formalmente all’Ufficio Opere Pubbliche la determinazione della percentuale di cui sopra e, con nota prot. 29793 del 15/09/2023, è stato comunicato il valore della percentuale calcolato sulla media dei ribassi ottenuti negli anni 2018-2022 in appalti di natura analoga risultante pari a </w:t>
      </w:r>
      <w:r w:rsidRPr="00542762">
        <w:rPr>
          <w:rFonts w:eastAsia="MS Mincho" w:cs="Garamond"/>
          <w:b/>
          <w:color w:val="000000"/>
        </w:rPr>
        <w:t>13,725%</w:t>
      </w:r>
      <w:r>
        <w:rPr>
          <w:rFonts w:eastAsia="MS Mincho" w:cs="Garamond"/>
          <w:color w:val="000000"/>
        </w:rPr>
        <w:t>;</w:t>
      </w:r>
    </w:p>
    <w:p w:rsidR="0022744B" w:rsidP="0022744B">
      <w:pPr>
        <w:pStyle w:val="ListParagraph"/>
        <w:tabs>
          <w:tab w:val="left" w:pos="-4310"/>
        </w:tabs>
        <w:overflowPunct/>
        <w:spacing w:line="276" w:lineRule="auto"/>
        <w:ind w:left="1080"/>
        <w:jc w:val="both"/>
        <w:textAlignment w:val="auto"/>
        <w:rPr>
          <w:rFonts w:ascii="Bookman Old Style" w:eastAsia="MS Mincho" w:hAnsi="Bookman Old Style" w:cs="Times New Roman"/>
        </w:rPr>
      </w:pPr>
    </w:p>
    <w:p w:rsidR="0022744B" w:rsidP="0022744B">
      <w:pPr>
        <w:spacing w:line="276" w:lineRule="auto"/>
      </w:pPr>
      <w:r>
        <w:rPr>
          <w:rFonts w:cs="Garamond"/>
          <w:b/>
          <w:bCs/>
          <w:color w:val="000000"/>
        </w:rPr>
        <w:t>Visto</w:t>
      </w:r>
      <w:r>
        <w:rPr>
          <w:rFonts w:cs="Garamond"/>
          <w:color w:val="000000"/>
        </w:rPr>
        <w:t xml:space="preserve"> il P.R.G.C. vigente del Comune di Orbassano approvato dalla G.R. con delibera n. 14-25592 del 7/10/1998, così come integrato e modificato dalle varianti strutturali n. 12 approvata con D.C.C. n. 68 in data 17/12/2010 e pubblicata sul B.U.R. Piemonte n. 1 del 05/01/2011, n. 19 approvata con D.C.C. n. 43 del 20/07/2012 e pubblicata sul B.U.R. Piemonte e n. 32 del 09/08/2012 e con successive varianti parziali;</w:t>
      </w:r>
    </w:p>
    <w:p w:rsidR="0022744B" w:rsidP="0022744B">
      <w:pPr>
        <w:spacing w:line="276" w:lineRule="auto"/>
      </w:pPr>
    </w:p>
    <w:p w:rsidR="0022744B" w:rsidP="0022744B">
      <w:r>
        <w:rPr>
          <w:rFonts w:eastAsia="Times New Roman" w:cs="Bookman Old Style"/>
          <w:b/>
        </w:rPr>
        <w:t>Dato atto che</w:t>
      </w:r>
      <w:r>
        <w:rPr>
          <w:rFonts w:eastAsia="Times New Roman" w:cs="Bookman Old Style"/>
        </w:rPr>
        <w:t xml:space="preserve"> la disposizione del comma 13 dell’art. 5 della L. 106/2011 di conversione del Decreto n. 70/2011 attribuisce alla Giunta Comunale la competenza circa l’approvazione degli strumenti urbanistici esecutivi (e conseguentemente delle relative modifiche, sostanziali e non sostanziali);</w:t>
      </w:r>
    </w:p>
    <w:p w:rsidR="0022744B" w:rsidP="0022744B">
      <w:pPr>
        <w:rPr>
          <w:rFonts w:eastAsia="Times New Roman" w:cs="Bookman Old Style"/>
        </w:rPr>
      </w:pPr>
    </w:p>
    <w:p w:rsidR="0022744B" w:rsidP="0022744B">
      <w:r>
        <w:rPr>
          <w:rFonts w:eastAsia="Times New Roman" w:cs="Bookman Old Style"/>
          <w:b/>
        </w:rPr>
        <w:t>Visti</w:t>
      </w:r>
      <w:r>
        <w:rPr>
          <w:rFonts w:eastAsia="Times New Roman" w:cs="Bookman Old Style"/>
        </w:rPr>
        <w:t xml:space="preserve"> gli artt. 48 e 49 del D. LGS 267/2000 e s.m.i.;</w:t>
      </w:r>
    </w:p>
    <w:p w:rsidR="0022744B" w:rsidP="0022744B">
      <w:pPr>
        <w:rPr>
          <w:rFonts w:eastAsia="Times New Roman" w:cs="Bookman Old Style"/>
        </w:rPr>
      </w:pPr>
    </w:p>
    <w:p w:rsidR="0022744B" w:rsidP="0022744B">
      <w:r>
        <w:rPr>
          <w:rFonts w:eastAsia="Times New Roman" w:cs="Bookman Old Style"/>
          <w:b/>
        </w:rPr>
        <w:t>Visto</w:t>
      </w:r>
      <w:r>
        <w:rPr>
          <w:rFonts w:eastAsia="Times New Roman" w:cs="Bookman Old Style"/>
        </w:rPr>
        <w:t xml:space="preserve"> l’allegato parere favorevole espresso in merito a detta proposta dal Dirigente del III Settore in ordine alla regolarità tecnica e dato atto che il presente provvedimento non comporta impegno di spesa;</w:t>
      </w:r>
    </w:p>
    <w:p w:rsidR="0022744B" w:rsidP="0022744B">
      <w:pPr>
        <w:spacing w:line="276" w:lineRule="auto"/>
      </w:pPr>
    </w:p>
    <w:p w:rsidR="0022744B" w:rsidP="0022744B">
      <w:pPr>
        <w:spacing w:line="276" w:lineRule="auto"/>
      </w:pPr>
      <w:r>
        <w:t> </w:t>
      </w:r>
      <w:r>
        <w:rPr>
          <w:rFonts w:cs="Garamond"/>
          <w:b/>
          <w:bCs/>
          <w:color w:val="000000"/>
        </w:rPr>
        <w:t>Visti:</w:t>
      </w:r>
    </w:p>
    <w:p w:rsidR="0022744B" w:rsidP="0022744B">
      <w:pPr>
        <w:pStyle w:val="ListParagraph"/>
        <w:numPr>
          <w:ilvl w:val="0"/>
          <w:numId w:val="4"/>
        </w:numPr>
        <w:spacing w:line="276" w:lineRule="auto"/>
        <w:jc w:val="both"/>
        <w:textAlignment w:val="auto"/>
      </w:pPr>
      <w:r>
        <w:rPr>
          <w:rFonts w:ascii="Bookman Old Style" w:eastAsia="MS Mincho" w:hAnsi="Bookman Old Style" w:cs="Garamond"/>
          <w:color w:val="000000"/>
        </w:rPr>
        <w:t>la Legge Regionale 5 dicembre 1977 n. 56 e s.m.i. e la normativa vigente in materia;</w:t>
      </w:r>
    </w:p>
    <w:p w:rsidR="0022744B" w:rsidP="0022744B">
      <w:pPr>
        <w:pStyle w:val="ListParagraph"/>
        <w:numPr>
          <w:ilvl w:val="0"/>
          <w:numId w:val="4"/>
        </w:numPr>
        <w:spacing w:line="276" w:lineRule="auto"/>
        <w:jc w:val="both"/>
        <w:textAlignment w:val="auto"/>
      </w:pPr>
      <w:r>
        <w:rPr>
          <w:rFonts w:ascii="Bookman Old Style" w:eastAsia="MS Mincho" w:hAnsi="Bookman Old Style" w:cs="Times New Roman"/>
        </w:rPr>
        <w:t>le D.G.R. 9 giugno 2008 n. 12-8931 e D.G.R. 29 febbraio 2016 n. 25-2977</w:t>
      </w:r>
    </w:p>
    <w:p w:rsidR="0022744B" w:rsidP="0022744B">
      <w:pPr>
        <w:pStyle w:val="ListParagraph"/>
        <w:numPr>
          <w:ilvl w:val="0"/>
          <w:numId w:val="4"/>
        </w:numPr>
        <w:spacing w:line="276" w:lineRule="auto"/>
        <w:jc w:val="both"/>
        <w:textAlignment w:val="auto"/>
        <w:rPr>
          <w:rFonts w:ascii="Bookman Old Style" w:eastAsia="Times New Roman" w:hAnsi="Bookman Old Style" w:cs="Bookman Old Style"/>
        </w:rPr>
      </w:pPr>
      <w:r>
        <w:rPr>
          <w:rFonts w:ascii="Bookman Old Style" w:eastAsia="Times New Roman" w:hAnsi="Bookman Old Style" w:cs="Bookman Old Style"/>
        </w:rPr>
        <w:t>il D.Lgs  31 marzo 2023, n. 36 “Codice dei contratti pubblici in attuazione dell'articolo 1 della legge 21 giugno 2022, n. 78, recante delega al Governo in materia di contratti pubblici”</w:t>
      </w:r>
    </w:p>
    <w:p w:rsidR="0022744B" w:rsidP="0022744B">
      <w:pPr>
        <w:pStyle w:val="ListParagraph"/>
        <w:numPr>
          <w:ilvl w:val="0"/>
          <w:numId w:val="4"/>
        </w:numPr>
        <w:spacing w:line="276" w:lineRule="auto"/>
        <w:jc w:val="both"/>
        <w:textAlignment w:val="auto"/>
      </w:pPr>
      <w:r>
        <w:rPr>
          <w:rFonts w:ascii="Bookman Old Style" w:eastAsia="Times New Roman" w:hAnsi="Bookman Old Style" w:cs="Bookman Old Style"/>
        </w:rPr>
        <w:t>il T.U.E.L. approvato con D. L.gs 267 del 18/08/2000 e s.m.i.;</w:t>
      </w:r>
    </w:p>
    <w:p w:rsidR="0022744B" w:rsidP="0022744B">
      <w:pPr>
        <w:pStyle w:val="ListParagraph"/>
        <w:numPr>
          <w:ilvl w:val="0"/>
          <w:numId w:val="4"/>
        </w:numPr>
        <w:spacing w:line="276" w:lineRule="auto"/>
        <w:jc w:val="both"/>
        <w:textAlignment w:val="auto"/>
      </w:pPr>
      <w:r>
        <w:rPr>
          <w:rFonts w:ascii="Bookman Old Style" w:eastAsia="Times New Roman" w:hAnsi="Bookman Old Style" w:cs="Bookman Old Style"/>
        </w:rPr>
        <w:t>il vigente Statuto Comunale;</w:t>
      </w:r>
    </w:p>
    <w:p w:rsidR="0022744B" w:rsidP="0022744B">
      <w:pPr>
        <w:rPr>
          <w:rFonts w:eastAsia="Times New Roman" w:cs="Bookman Old Style"/>
        </w:rPr>
      </w:pPr>
    </w:p>
    <w:p w:rsidR="0022744B" w:rsidP="0022744B">
      <w:pPr>
        <w:rPr>
          <w:rFonts w:eastAsia="Times New Roman" w:cs="Bookman Old Style"/>
        </w:rPr>
      </w:pPr>
      <w:r w:rsidR="00594212">
        <w:rPr>
          <w:rFonts w:eastAsia="Times New Roman" w:cs="Bookman Old Style"/>
        </w:rPr>
        <w:t>Con voti unanimi e favorevoli espressi in forma palese;</w:t>
      </w:r>
    </w:p>
    <w:p w:rsidR="0022744B" w:rsidP="0022744B">
      <w:pPr>
        <w:rPr>
          <w:rFonts w:eastAsia="Times New Roman" w:cs="Bookman Old Style"/>
        </w:rPr>
      </w:pPr>
    </w:p>
    <w:p w:rsidR="0022744B" w:rsidP="0022744B">
      <w:pPr>
        <w:jc w:val="center"/>
        <w:rPr>
          <w:b/>
        </w:rPr>
      </w:pPr>
      <w:r w:rsidRPr="00D82802">
        <w:rPr>
          <w:b/>
        </w:rPr>
        <w:t>DELIBERA</w:t>
      </w:r>
    </w:p>
    <w:p w:rsidR="0022744B" w:rsidP="0022744B">
      <w:pPr>
        <w:jc w:val="center"/>
        <w:rPr>
          <w:b/>
        </w:rPr>
      </w:pPr>
    </w:p>
    <w:p w:rsidR="0022744B" w:rsidP="0022744B">
      <w:pPr>
        <w:spacing w:after="120"/>
      </w:pPr>
      <w:r>
        <w:t>di richiamare quanto in premessa a far parte integrante e sostanziale del dispositivo e per gli effetti:</w:t>
      </w:r>
    </w:p>
    <w:p w:rsidR="0022744B" w:rsidP="0022744B">
      <w:pPr>
        <w:spacing w:after="120"/>
      </w:pPr>
    </w:p>
    <w:p w:rsidR="0022744B" w:rsidRPr="007A54FB" w:rsidP="0022744B">
      <w:pPr>
        <w:widowControl/>
        <w:numPr>
          <w:ilvl w:val="0"/>
          <w:numId w:val="5"/>
        </w:numPr>
        <w:overflowPunct w:val="0"/>
        <w:spacing w:after="120"/>
      </w:pPr>
      <w:r w:rsidRPr="007A54FB">
        <w:rPr>
          <w:rFonts w:eastAsia="Times New Roman" w:cs="Bookman Old Style"/>
          <w:b/>
        </w:rPr>
        <w:t>DI PRENDERE ATTO</w:t>
      </w:r>
    </w:p>
    <w:p w:rsidR="0022744B" w:rsidRPr="000F327B" w:rsidP="0022744B">
      <w:pPr>
        <w:pStyle w:val="ListParagraph"/>
        <w:numPr>
          <w:ilvl w:val="0"/>
          <w:numId w:val="4"/>
        </w:numPr>
        <w:spacing w:after="120" w:line="276" w:lineRule="auto"/>
        <w:ind w:left="1134"/>
        <w:jc w:val="both"/>
        <w:textAlignment w:val="auto"/>
        <w:rPr>
          <w:rFonts w:ascii="Bookman Old Style" w:eastAsia="MS Mincho" w:hAnsi="Bookman Old Style" w:cs="Garamond"/>
          <w:color w:val="000000"/>
        </w:rPr>
      </w:pPr>
      <w:r w:rsidRPr="007A5ABD">
        <w:rPr>
          <w:rFonts w:ascii="Bookman Old Style" w:hAnsi="Bookman Old Style" w:cs="Garamond"/>
          <w:bCs/>
          <w:color w:val="000000"/>
        </w:rPr>
        <w:t xml:space="preserve">della </w:t>
      </w:r>
      <w:r w:rsidRPr="008E4EED">
        <w:rPr>
          <w:rFonts w:ascii="Bookman Old Style" w:hAnsi="Bookman Old Style" w:cs="Garamond"/>
          <w:b/>
          <w:bCs/>
          <w:color w:val="000000"/>
        </w:rPr>
        <w:t>percentuale media di ribasso</w:t>
      </w:r>
      <w:r>
        <w:rPr>
          <w:rFonts w:ascii="Bookman Old Style" w:hAnsi="Bookman Old Style" w:cs="Garamond"/>
          <w:bCs/>
          <w:color w:val="000000"/>
        </w:rPr>
        <w:t xml:space="preserve">, comunicata dal Servizio Opere Pubbliche con prot. 29793 del 15/09/2023, da utilizzare per il calcolo definitivo dell’importo degli oneri di urbanizzazione di cui all’art. 11 </w:t>
      </w:r>
      <w:r w:rsidRPr="008214FA">
        <w:rPr>
          <w:rFonts w:ascii="Bookman Old Style" w:eastAsia="MS Mincho" w:hAnsi="Bookman Old Style" w:cs="Garamond"/>
          <w:color w:val="000000"/>
        </w:rPr>
        <w:t xml:space="preserve">“Opere di urbanizzazione primaria sotto soglia, funzionali all’intervento, a scomputo degli oneri” </w:t>
      </w:r>
      <w:r w:rsidRPr="008214FA">
        <w:rPr>
          <w:rFonts w:ascii="Bookman Old Style" w:eastAsia="Times New Roman" w:hAnsi="Bookman Old Style" w:cs="Bookman Old Style"/>
        </w:rPr>
        <w:t xml:space="preserve">dello Schema di convenzione </w:t>
      </w:r>
      <w:r w:rsidRPr="000F327B">
        <w:rPr>
          <w:rFonts w:ascii="Bookman Old Style" w:eastAsia="MS Mincho" w:hAnsi="Bookman Old Style" w:cs="Garamond"/>
          <w:color w:val="000000"/>
          <w:lang w:eastAsia="zh-CN" w:bidi="hi-IN"/>
        </w:rPr>
        <w:t xml:space="preserve">della variante al PECLI 12.1.2 – 12.1.2.1 </w:t>
      </w:r>
      <w:r w:rsidRPr="000F327B">
        <w:rPr>
          <w:rFonts w:ascii="Bookman Old Style" w:eastAsia="Times New Roman" w:hAnsi="Bookman Old Style" w:cs="Bookman Old Style"/>
        </w:rPr>
        <w:t xml:space="preserve">approvato con D.G.C. </w:t>
      </w:r>
      <w:r w:rsidRPr="000F327B">
        <w:rPr>
          <w:rFonts w:ascii="Bookman Old Style" w:eastAsia="MS Mincho" w:hAnsi="Bookman Old Style" w:cs="Garamond"/>
          <w:color w:val="000000"/>
          <w:lang w:eastAsia="zh-CN" w:bidi="hi-IN"/>
        </w:rPr>
        <w:t>214 del 12/12/2022</w:t>
      </w:r>
      <w:r w:rsidRPr="000F327B">
        <w:rPr>
          <w:rFonts w:ascii="Bookman Old Style" w:eastAsia="Times New Roman" w:hAnsi="Bookman Old Style" w:cs="Bookman Old Style"/>
        </w:rPr>
        <w:t xml:space="preserve">, </w:t>
      </w:r>
      <w:r w:rsidRPr="000F327B">
        <w:rPr>
          <w:rFonts w:ascii="Bookman Old Style" w:eastAsia="MS Mincho" w:hAnsi="Bookman Old Style" w:cs="Garamond"/>
          <w:color w:val="000000"/>
        </w:rPr>
        <w:t xml:space="preserve">percentuale calcolata sulla media dei ribassi ottenuti negli anni 2018-2022 in appalti di natura analoga pari a </w:t>
      </w:r>
      <w:r w:rsidRPr="000F327B">
        <w:rPr>
          <w:rFonts w:ascii="Bookman Old Style" w:eastAsia="MS Mincho" w:hAnsi="Bookman Old Style" w:cs="Garamond"/>
          <w:b/>
          <w:color w:val="000000"/>
        </w:rPr>
        <w:t>13,725%</w:t>
      </w:r>
      <w:r w:rsidRPr="000F327B">
        <w:rPr>
          <w:rFonts w:ascii="Bookman Old Style" w:eastAsia="MS Mincho" w:hAnsi="Bookman Old Style" w:cs="Garamond"/>
          <w:color w:val="000000"/>
        </w:rPr>
        <w:t>;</w:t>
      </w:r>
    </w:p>
    <w:p w:rsidR="0022744B" w:rsidRPr="000F327B" w:rsidP="0022744B">
      <w:pPr>
        <w:pStyle w:val="ListParagraph"/>
        <w:numPr>
          <w:ilvl w:val="0"/>
          <w:numId w:val="4"/>
        </w:numPr>
        <w:spacing w:after="120" w:line="276" w:lineRule="auto"/>
        <w:ind w:left="1134" w:hanging="357"/>
        <w:jc w:val="both"/>
        <w:textAlignment w:val="auto"/>
        <w:rPr>
          <w:rFonts w:ascii="Bookman Old Style" w:eastAsia="MS Mincho" w:hAnsi="Bookman Old Style" w:cs="Garamond"/>
          <w:color w:val="000000"/>
        </w:rPr>
      </w:pPr>
      <w:r w:rsidRPr="000F327B">
        <w:rPr>
          <w:rFonts w:ascii="Bookman Old Style" w:eastAsia="MS Mincho" w:hAnsi="Bookman Old Style" w:cs="Garamond"/>
          <w:color w:val="000000"/>
        </w:rPr>
        <w:t>della correzione di errore materiale trasposto dalla “Convenzione tipo” che attiene alla corretta individuazione del periodo di riferimento per il calcolo della media</w:t>
      </w:r>
      <w:r w:rsidRPr="000F327B">
        <w:rPr>
          <w:rFonts w:ascii="Bookman Old Style" w:eastAsia="MS Mincho" w:hAnsi="Bookman Old Style" w:cs="Garamond"/>
          <w:color w:val="000000"/>
          <w:lang w:eastAsia="zh-CN" w:bidi="hi-IN"/>
        </w:rPr>
        <w:t xml:space="preserve"> dei ribassi di cui sopra</w:t>
      </w:r>
      <w:r w:rsidRPr="000F327B">
        <w:rPr>
          <w:rFonts w:ascii="Bookman Old Style" w:eastAsia="MS Mincho" w:hAnsi="Bookman Old Style" w:cs="Garamond"/>
          <w:color w:val="000000"/>
        </w:rPr>
        <w:t xml:space="preserve"> presente nell’art. 11 “Opere di urbanizzazione primaria sotto soglia, funzionali all’intervento, a scomputo degli oneri” </w:t>
      </w:r>
      <w:r w:rsidRPr="000F327B">
        <w:rPr>
          <w:rFonts w:ascii="Bookman Old Style" w:eastAsia="Times New Roman" w:hAnsi="Bookman Old Style" w:cs="Bookman Old Style"/>
        </w:rPr>
        <w:t>succitato,</w:t>
      </w:r>
    </w:p>
    <w:p w:rsidR="0022744B" w:rsidRPr="000F327B" w:rsidP="0022744B">
      <w:pPr>
        <w:pStyle w:val="ListParagraph"/>
        <w:spacing w:after="120" w:line="276" w:lineRule="auto"/>
        <w:ind w:left="1134"/>
        <w:jc w:val="both"/>
        <w:textAlignment w:val="auto"/>
        <w:rPr>
          <w:rFonts w:ascii="Bookman Old Style" w:eastAsia="MS Mincho" w:hAnsi="Bookman Old Style" w:cs="Garamond"/>
          <w:color w:val="000000"/>
        </w:rPr>
      </w:pPr>
      <w:r w:rsidRPr="000F327B">
        <w:rPr>
          <w:rFonts w:ascii="Bookman Old Style" w:eastAsia="MS Mincho" w:hAnsi="Bookman Old Style" w:cs="Garamond"/>
          <w:color w:val="000000"/>
        </w:rPr>
        <w:t>che riporta la seguente dicitura: “</w:t>
      </w:r>
      <w:r w:rsidRPr="000F327B">
        <w:rPr>
          <w:rFonts w:ascii="Bookman Old Style" w:eastAsia="MS Mincho" w:hAnsi="Bookman Old Style" w:cs="Garamond"/>
          <w:i/>
          <w:color w:val="000000"/>
        </w:rPr>
        <w:t xml:space="preserve">All’importo delle opere di urbanizzazione a scomputo, relativamente alla quota lavori, esclusi oneri della sicurezza del QTE, dovrà essere applicato un ribasso pari al  </w:t>
      </w:r>
      <w:r w:rsidRPr="000F327B">
        <w:rPr>
          <w:rFonts w:ascii="Bookman Old Style" w:eastAsia="MS Mincho" w:hAnsi="Bookman Old Style" w:cs="Garamond"/>
          <w:b/>
          <w:i/>
          <w:color w:val="000000"/>
        </w:rPr>
        <w:t>…….</w:t>
      </w:r>
      <w:r w:rsidRPr="000F327B">
        <w:rPr>
          <w:rFonts w:ascii="Bookman Old Style" w:eastAsia="MS Mincho" w:hAnsi="Bookman Old Style" w:cs="Garamond"/>
          <w:i/>
          <w:color w:val="000000"/>
        </w:rPr>
        <w:t xml:space="preserve"> determinato dal Servizio Opere Pubbliche e calcolato sulla media dei ribassi ottenuti negli ultimi 5 anni precedenti quello di </w:t>
      </w:r>
      <w:r w:rsidRPr="000F327B">
        <w:rPr>
          <w:rFonts w:ascii="Bookman Old Style" w:eastAsia="MS Mincho" w:hAnsi="Bookman Old Style" w:cs="Garamond"/>
          <w:b/>
          <w:i/>
          <w:color w:val="000000"/>
        </w:rPr>
        <w:t>presentazione del PECLI</w:t>
      </w:r>
      <w:r w:rsidRPr="000F327B">
        <w:rPr>
          <w:rFonts w:ascii="Bookman Old Style" w:eastAsia="MS Mincho" w:hAnsi="Bookman Old Style" w:cs="Garamond"/>
          <w:i/>
          <w:color w:val="000000"/>
        </w:rPr>
        <w:t xml:space="preserve"> in appalti di natura analoga”,</w:t>
      </w:r>
    </w:p>
    <w:p w:rsidR="0022744B" w:rsidRPr="00FC2082" w:rsidP="0022744B">
      <w:pPr>
        <w:pStyle w:val="ListParagraph"/>
        <w:spacing w:after="120" w:line="276" w:lineRule="auto"/>
        <w:ind w:left="1134"/>
        <w:jc w:val="both"/>
        <w:textAlignment w:val="auto"/>
        <w:rPr>
          <w:rFonts w:ascii="Bookman Old Style" w:eastAsia="MS Mincho" w:hAnsi="Bookman Old Style" w:cs="Garamond"/>
          <w:color w:val="000000"/>
          <w:highlight w:val="yellow"/>
        </w:rPr>
      </w:pPr>
      <w:r w:rsidRPr="008E4EED">
        <w:rPr>
          <w:rFonts w:ascii="Bookman Old Style" w:eastAsia="MS Mincho" w:hAnsi="Bookman Old Style" w:cs="Garamond"/>
          <w:color w:val="000000"/>
        </w:rPr>
        <w:t xml:space="preserve"> e viene aggiornato come segue: “</w:t>
      </w:r>
      <w:r w:rsidRPr="008E4EED">
        <w:rPr>
          <w:rFonts w:ascii="Bookman Old Style" w:eastAsia="MS Mincho" w:hAnsi="Bookman Old Style" w:cs="Garamond"/>
          <w:i/>
          <w:color w:val="000000"/>
        </w:rPr>
        <w:t xml:space="preserve">All’importo delle opere di urbanizzazione a scomputo, relativamente alla quota lavori, esclusi oneri della sicurezza del QTE, dovrà essere applicato un ribasso pari al </w:t>
      </w:r>
      <w:r w:rsidRPr="008E4EED">
        <w:rPr>
          <w:rFonts w:ascii="Bookman Old Style" w:hAnsi="Bookman Old Style" w:cs="Garamond"/>
          <w:b/>
          <w:bCs/>
          <w:i/>
          <w:color w:val="000000"/>
        </w:rPr>
        <w:t>13,725%</w:t>
      </w:r>
      <w:r w:rsidRPr="008E4EED">
        <w:rPr>
          <w:rFonts w:ascii="Bookman Old Style" w:hAnsi="Bookman Old Style" w:cs="Garamond"/>
          <w:bCs/>
          <w:color w:val="000000"/>
        </w:rPr>
        <w:t xml:space="preserve"> </w:t>
      </w:r>
      <w:r w:rsidRPr="008E4EED">
        <w:rPr>
          <w:rFonts w:ascii="Bookman Old Style" w:eastAsia="MS Mincho" w:hAnsi="Bookman Old Style" w:cs="Garamond"/>
          <w:i/>
          <w:color w:val="000000"/>
        </w:rPr>
        <w:t xml:space="preserve">determinato dal Servizio Opere Pubbliche e calcolato sulla media dei ribassi ottenuti negli ultimi 5 anni precedenti quello di </w:t>
      </w:r>
      <w:r w:rsidRPr="008E4EED">
        <w:rPr>
          <w:rFonts w:ascii="Bookman Old Style" w:eastAsia="MS Mincho" w:hAnsi="Bookman Old Style" w:cs="Garamond"/>
          <w:b/>
          <w:i/>
          <w:color w:val="000000"/>
        </w:rPr>
        <w:t>stipula della presente Convenzione (2018-2022)</w:t>
      </w:r>
      <w:r w:rsidRPr="008E4EED">
        <w:rPr>
          <w:rFonts w:ascii="Bookman Old Style" w:eastAsia="MS Mincho" w:hAnsi="Bookman Old Style" w:cs="Garamond"/>
          <w:i/>
          <w:color w:val="000000"/>
        </w:rPr>
        <w:t xml:space="preserve"> in appalti di natura analoga”;</w:t>
      </w:r>
    </w:p>
    <w:p w:rsidR="0022744B" w:rsidRPr="000F327B" w:rsidP="0022744B">
      <w:pPr>
        <w:pStyle w:val="WW-Predefinito"/>
        <w:numPr>
          <w:ilvl w:val="0"/>
          <w:numId w:val="4"/>
        </w:numPr>
        <w:spacing w:after="120" w:line="276" w:lineRule="auto"/>
        <w:ind w:left="1134" w:hanging="357"/>
        <w:jc w:val="both"/>
        <w:rPr>
          <w:rFonts w:ascii="Bookman Old Style" w:hAnsi="Bookman Old Style" w:cs="Arial"/>
          <w:bCs/>
          <w:iCs/>
          <w:u w:val="none"/>
        </w:rPr>
      </w:pPr>
      <w:r w:rsidRPr="000F327B">
        <w:rPr>
          <w:rFonts w:ascii="Bookman Old Style" w:hAnsi="Bookman Old Style" w:cs="Arial"/>
          <w:bCs/>
          <w:iCs/>
          <w:u w:val="none"/>
        </w:rPr>
        <w:t>delle modifiche non sostanziali consistenti nella correzione dei riferimenti catastali e delle superfici come ridefiniti a seguito della presentazione del nuovo frazionamento catastale n. TO0204153 approvato in data 18/07/2023 finalizzato alla dismissione/assoggettamento delle aree previste dalla suddetta variante, come meglio illustrato nella documentazione esplicativa e di verifica del rispetto dei parametri urbanistici trasmessa dalla Proponente, ns. prot. 33529 del 19/10/2023, costituita dai seguenti elaborati:</w:t>
      </w:r>
    </w:p>
    <w:p w:rsidR="0022744B" w:rsidRPr="000F327B" w:rsidP="0022744B">
      <w:pPr>
        <w:pStyle w:val="WW-Predefinito"/>
        <w:numPr>
          <w:ilvl w:val="2"/>
          <w:numId w:val="6"/>
        </w:numPr>
        <w:spacing w:after="120" w:line="276" w:lineRule="auto"/>
        <w:jc w:val="both"/>
        <w:rPr>
          <w:rFonts w:ascii="Bookman Old Style" w:hAnsi="Bookman Old Style" w:cs="Arial"/>
          <w:bCs/>
          <w:iCs/>
          <w:u w:val="none"/>
        </w:rPr>
      </w:pPr>
      <w:r w:rsidRPr="000F327B">
        <w:rPr>
          <w:rFonts w:ascii="Bookman Old Style" w:hAnsi="Bookman Old Style" w:cs="Arial"/>
          <w:bCs/>
          <w:iCs/>
          <w:u w:val="none"/>
        </w:rPr>
        <w:t>“Tavola comparativa di raccordo tra la Variante al PECLI approvata con D.G.C. 214 del 12/12/2022 e i dati catastali del frazionamento TO0204153 approvato il 08/07/2023”;</w:t>
      </w:r>
    </w:p>
    <w:p w:rsidR="0022744B" w:rsidRPr="000F327B" w:rsidP="0022744B">
      <w:pPr>
        <w:pStyle w:val="WW-Predefinito"/>
        <w:numPr>
          <w:ilvl w:val="2"/>
          <w:numId w:val="6"/>
        </w:numPr>
        <w:spacing w:after="120" w:line="276" w:lineRule="auto"/>
        <w:jc w:val="both"/>
        <w:rPr>
          <w:rFonts w:ascii="Bookman Old Style" w:hAnsi="Bookman Old Style" w:cs="Arial"/>
          <w:bCs/>
          <w:iCs/>
          <w:u w:val="none"/>
        </w:rPr>
      </w:pPr>
      <w:r w:rsidRPr="000F327B">
        <w:rPr>
          <w:rFonts w:ascii="Bookman Old Style" w:hAnsi="Bookman Old Style" w:cs="Arial"/>
          <w:bCs/>
          <w:iCs/>
          <w:u w:val="none"/>
        </w:rPr>
        <w:t xml:space="preserve">“Relazione comparativa di raccordo tra la Variante al PECLI approvata con D.G.C. 214 del 12/12/2022 e i dati catastali del frazionamento TO0204153 approvato il 08/07/2023” e relativi allegati;  </w:t>
      </w:r>
    </w:p>
    <w:p w:rsidR="0022744B" w:rsidRPr="00555CF8" w:rsidP="0022744B">
      <w:pPr>
        <w:pStyle w:val="ListParagraph"/>
        <w:numPr>
          <w:ilvl w:val="0"/>
          <w:numId w:val="4"/>
        </w:numPr>
        <w:spacing w:after="120" w:line="276" w:lineRule="auto"/>
        <w:ind w:left="1134"/>
        <w:jc w:val="both"/>
        <w:rPr>
          <w:rFonts w:ascii="Bookman Old Style" w:eastAsia="Times New Roman" w:hAnsi="Bookman Old Style" w:cs="Bookman Old Style"/>
          <w:strike/>
        </w:rPr>
      </w:pPr>
      <w:r w:rsidRPr="00555CF8">
        <w:rPr>
          <w:rFonts w:ascii="Bookman Old Style" w:eastAsia="Times New Roman" w:hAnsi="Bookman Old Style" w:cs="Bookman Old Style"/>
        </w:rPr>
        <w:t>della correzione di ulteriori refusi e imprecisioni allo Schema di Convenzione in argomento;</w:t>
      </w:r>
    </w:p>
    <w:p w:rsidR="0022744B" w:rsidRPr="002C7F9D" w:rsidP="0022744B">
      <w:pPr>
        <w:pStyle w:val="ListParagraph"/>
        <w:spacing w:after="120" w:line="276" w:lineRule="auto"/>
        <w:ind w:left="1134"/>
        <w:jc w:val="both"/>
        <w:textAlignment w:val="auto"/>
        <w:rPr>
          <w:rFonts w:ascii="Bookman Old Style" w:eastAsia="MS Mincho" w:hAnsi="Bookman Old Style" w:cs="Garamond"/>
          <w:strike/>
          <w:color w:val="000000"/>
          <w:lang w:eastAsia="zh-CN" w:bidi="hi-IN"/>
        </w:rPr>
      </w:pPr>
    </w:p>
    <w:p w:rsidR="0022744B" w:rsidRPr="00482B57" w:rsidP="0022744B">
      <w:pPr>
        <w:widowControl/>
        <w:numPr>
          <w:ilvl w:val="0"/>
          <w:numId w:val="7"/>
        </w:numPr>
        <w:overflowPunct w:val="0"/>
        <w:spacing w:after="120"/>
      </w:pPr>
      <w:r>
        <w:rPr>
          <w:rFonts w:eastAsia="Times New Roman" w:cs="Bookman Old Style"/>
          <w:b/>
        </w:rPr>
        <w:t>DI DARE INOLTRE ATTO:</w:t>
      </w:r>
    </w:p>
    <w:p w:rsidR="0022744B" w:rsidRPr="00B35724" w:rsidP="0022744B">
      <w:pPr>
        <w:pStyle w:val="ListParagraph"/>
        <w:numPr>
          <w:ilvl w:val="0"/>
          <w:numId w:val="4"/>
        </w:numPr>
        <w:spacing w:after="120" w:line="276" w:lineRule="auto"/>
        <w:ind w:left="1134"/>
        <w:jc w:val="both"/>
        <w:rPr>
          <w:rFonts w:eastAsia="Times New Roman" w:cs="Bookman Old Style"/>
        </w:rPr>
      </w:pPr>
      <w:r>
        <w:rPr>
          <w:rFonts w:ascii="Bookman Old Style" w:eastAsia="Times New Roman" w:hAnsi="Bookman Old Style" w:cs="Bookman Old Style"/>
        </w:rPr>
        <w:t xml:space="preserve">che gli aggiornamenti apportati allo Schema di Convenzione di cui ai precedenti punti non costituiscono una modifica sostanziale: con riferimento all’art. 23 </w:t>
      </w:r>
      <w:r w:rsidRPr="00054005">
        <w:rPr>
          <w:rFonts w:ascii="Bookman Old Style" w:eastAsia="Times New Roman" w:hAnsi="Bookman Old Style" w:cs="Bookman Old Style"/>
          <w:i/>
        </w:rPr>
        <w:t>“Varianti al piano esecutivo”</w:t>
      </w:r>
      <w:r>
        <w:rPr>
          <w:rFonts w:ascii="Bookman Old Style" w:eastAsia="Times New Roman" w:hAnsi="Bookman Old Style" w:cs="Bookman Old Style"/>
        </w:rPr>
        <w:t xml:space="preserve"> dello Schema di convenzione dette correzioni non costituiscono variante in quanto non comportano “</w:t>
      </w:r>
      <w:r>
        <w:rPr>
          <w:rFonts w:ascii="Bookman Old Style" w:eastAsia="Times New Roman" w:hAnsi="Bookman Old Style" w:cs="Bookman Old Style"/>
          <w:i/>
        </w:rPr>
        <w:t>modificazioni planivolumetriche che non alterino significativamente l’assetto progettuale e le caratteristiche tipologiche previste negli elaborati grafici e nelle norme di attuazione del piano esecutivo, non incidano sul dimensionamento globale degli insediamenti e non diminuiscano la dotazione di aree per servizi pubblici, di uso pubblico e a vincolo di destinazione pubblica.”;</w:t>
      </w:r>
    </w:p>
    <w:p w:rsidR="0022744B" w:rsidRPr="007A54FB" w:rsidP="0022744B">
      <w:pPr>
        <w:pStyle w:val="ListParagraph"/>
        <w:numPr>
          <w:ilvl w:val="0"/>
          <w:numId w:val="4"/>
        </w:numPr>
        <w:spacing w:after="120" w:line="276" w:lineRule="auto"/>
        <w:ind w:left="1134"/>
        <w:jc w:val="both"/>
        <w:rPr>
          <w:rFonts w:eastAsia="Times New Roman" w:cs="Bookman Old Style"/>
        </w:rPr>
      </w:pPr>
      <w:r>
        <w:rPr>
          <w:rFonts w:ascii="Bookman Old Style" w:eastAsia="MS Mincho" w:hAnsi="Bookman Old Style" w:cs="Garamond"/>
          <w:color w:val="000000"/>
          <w:lang w:eastAsia="zh-CN" w:bidi="hi-IN"/>
        </w:rPr>
        <w:t xml:space="preserve">che lo Schema di convenzione in argomento, la Tavola comparativa e la Relazione comparativa pervenuti al prot. </w:t>
      </w:r>
      <w:r>
        <w:rPr>
          <w:rFonts w:ascii="Bookman Old Style" w:hAnsi="Bookman Old Style" w:cs="Arial"/>
          <w:bCs/>
          <w:iCs/>
        </w:rPr>
        <w:t xml:space="preserve">33529 del 19/10/2023 </w:t>
      </w:r>
      <w:r w:rsidRPr="007A54FB">
        <w:rPr>
          <w:rFonts w:ascii="Bookman Old Style" w:eastAsia="MS Mincho" w:hAnsi="Bookman Old Style" w:cs="Garamond"/>
          <w:color w:val="000000"/>
          <w:lang w:eastAsia="zh-CN" w:bidi="hi-IN"/>
        </w:rPr>
        <w:t>vengono allegati al presente atto per farne parte integrante e sostanziale;</w:t>
      </w:r>
    </w:p>
    <w:p w:rsidR="001B4A06" w:rsidRPr="001B4A06" w:rsidP="001B4A06">
      <w:pPr>
        <w:pStyle w:val="ListParagraph"/>
        <w:numPr>
          <w:ilvl w:val="0"/>
          <w:numId w:val="4"/>
        </w:numPr>
        <w:spacing w:after="120" w:line="276" w:lineRule="auto"/>
        <w:ind w:left="1134"/>
        <w:jc w:val="both"/>
        <w:rPr>
          <w:rFonts w:eastAsia="Times New Roman" w:cs="Bookman Old Style"/>
        </w:rPr>
      </w:pPr>
      <w:r w:rsidRPr="007A54FB">
        <w:rPr>
          <w:rFonts w:ascii="Bookman Old Style" w:eastAsia="MS Mincho" w:hAnsi="Bookman Old Style" w:cs="Garamond"/>
          <w:color w:val="000000"/>
          <w:lang w:eastAsia="zh-CN" w:bidi="hi-IN"/>
        </w:rPr>
        <w:t xml:space="preserve">che allo “Schema di convenzione tipo”, utilizzato come documento di lavoro base per la redazione degli analoghi elaborati allegati agli Strumenti Urbanistici Esecutivi e ai Permessi Convenzionati, verranno apportate le medesime correzioni emerse in sede di revisione finale della convenzione oggetto della presente deliberazione propedeutica alla stipula; </w:t>
      </w:r>
    </w:p>
    <w:p w:rsidR="001B4A06" w:rsidRPr="001B4A06" w:rsidP="001B4A06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eastAsia="Times New Roman" w:cs="Bookman Old Style"/>
        </w:rPr>
      </w:pPr>
      <w:r w:rsidRPr="001B4A06" w:rsidR="00594212">
        <w:rPr>
          <w:rFonts w:ascii="Bookman Old Style" w:eastAsia="Times New Roman" w:hAnsi="Bookman Old Style" w:cs="Bookman Old Style"/>
          <w:b/>
          <w:bCs/>
        </w:rPr>
        <w:t>DI DARE MANDATO</w:t>
      </w:r>
      <w:r w:rsidRPr="001B4A06" w:rsidR="00594212">
        <w:rPr>
          <w:rFonts w:ascii="Bookman Old Style" w:eastAsia="Times New Roman" w:hAnsi="Bookman Old Style" w:cs="Bookman Old Style"/>
          <w:bCs/>
        </w:rPr>
        <w:t xml:space="preserve"> al Dirigente del III Settore affinché provveda all'espletamento di tutte le necessarie incombenze atte a conseguire l’attuazione del presente provvedimento e, in particolare alla sottoscrizione della Convenzione edilizia per la quale è autorizzato a porre in essere tutti i necessari correttivi, compresi quelli consistenti in precisazioni del contenuto della convenzione e/o quelli volti ad eliminare dalla stipula eventuali errori materiali riscontrati nella documentazione;</w:t>
      </w:r>
    </w:p>
    <w:p w:rsidR="001B4A06" w:rsidRPr="001B4A06" w:rsidP="001B4A06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eastAsia="Times New Roman" w:cs="Bookman Old Style"/>
        </w:rPr>
      </w:pPr>
      <w:r w:rsidRPr="001B4A06">
        <w:rPr>
          <w:rFonts w:ascii="Bookman Old Style" w:eastAsia="Times New Roman" w:hAnsi="Bookman Old Style" w:cs="Bookman Old Style"/>
          <w:b/>
          <w:bCs/>
        </w:rPr>
        <w:t xml:space="preserve">DI DISPORRE </w:t>
      </w:r>
      <w:r w:rsidRPr="001B4A06">
        <w:rPr>
          <w:rFonts w:ascii="Bookman Old Style" w:eastAsia="Times New Roman" w:hAnsi="Bookman Old Style" w:cs="Bookman Old Style"/>
          <w:bCs/>
        </w:rPr>
        <w:t>la pubblicazione ai sensi del Decreto Legislativo n. 33/2013 sul sito internet nella sezione “Amministrazione Trasparente”;</w:t>
      </w:r>
    </w:p>
    <w:p w:rsidR="0022744B" w:rsidRPr="001B4A06" w:rsidP="001B4A06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eastAsia="Times New Roman" w:cs="Bookman Old Style"/>
        </w:rPr>
      </w:pPr>
      <w:bookmarkStart w:id="16" w:name="_GoBack"/>
      <w:bookmarkEnd w:id="16"/>
      <w:r w:rsidRPr="001B4A06">
        <w:rPr>
          <w:rFonts w:ascii="Bookman Old Style" w:eastAsia="Times New Roman" w:hAnsi="Bookman Old Style" w:cs="Bookman Old Style"/>
          <w:b/>
          <w:bCs/>
        </w:rPr>
        <w:t>DI DICHIARARE</w:t>
      </w:r>
      <w:r w:rsidRPr="001B4A06">
        <w:rPr>
          <w:rFonts w:ascii="Bookman Old Style" w:eastAsia="Times New Roman" w:hAnsi="Bookman Old Style" w:cs="Bookman Old Style"/>
          <w:bCs/>
        </w:rPr>
        <w:t xml:space="preserve"> il presente atto, immediatamente eseguibile, onde poter procedere con gli atti inerenti e conseguenti per una pronta attuazione degli interventi pubblici e privati.</w:t>
      </w:r>
    </w:p>
    <w:p w:rsidR="0022744B" w:rsidP="0022744B">
      <w:pPr>
        <w:rPr>
          <w:rFonts w:eastAsia="Times New Roman" w:cs="Bookman Old Style"/>
        </w:rPr>
      </w:pPr>
    </w:p>
    <w:p w:rsidR="00193B80" w:rsidP="00A50782"/>
    <w:p w:rsidR="00B631D1" w:rsidP="00B631D1">
      <w:bookmarkEnd w:id="15"/>
      <w:r>
        <w:t xml:space="preserve"> </w:t>
      </w:r>
    </w:p>
    <w:p w:rsidR="008F4EEB">
      <w:pPr>
        <w:pStyle w:val="Standard"/>
      </w:pPr>
    </w:p>
    <w:p w:rsidR="008F4EEB">
      <w:pPr>
        <w:pStyle w:val="Standard"/>
      </w:pPr>
    </w:p>
    <w:p w:rsidR="008F4EEB">
      <w:pPr>
        <w:pStyle w:val="Standard"/>
      </w:pPr>
    </w:p>
    <w:p w:rsidR="008F4EEB">
      <w:pPr>
        <w:pStyle w:val="Standard"/>
        <w:pageBreakBefore/>
      </w:pPr>
    </w:p>
    <w:p w:rsidR="008F4EEB">
      <w:pPr>
        <w:pStyle w:val="Standard"/>
        <w:pageBreakBefore/>
      </w:pPr>
      <w:r>
        <w:rPr>
          <w:color w:val="000000"/>
        </w:rPr>
        <w:t>Letto, confermato e sottoscritto :</w:t>
      </w:r>
    </w:p>
    <w:p w:rsidR="008F4EEB">
      <w:pPr>
        <w:pStyle w:val="Standard"/>
        <w:keepNext/>
        <w:keepLines/>
        <w:autoSpaceDE w:val="0"/>
        <w:spacing w:line="240" w:lineRule="atLeast"/>
        <w:ind w:left="261"/>
        <w:jc w:val="center"/>
        <w:rPr>
          <w:color w:val="000000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19"/>
      </w:tblGrid>
      <w:tr>
        <w:tblPrEx>
          <w:tblW w:w="9639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8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4EEB">
            <w:pPr>
              <w:pStyle w:val="Standard"/>
              <w:keepNext/>
              <w:keepLines/>
              <w:autoSpaceDE w:val="0"/>
              <w:spacing w:line="240" w:lineRule="atLeast"/>
              <w:ind w:left="50" w:right="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Il </w:t>
            </w:r>
            <w:bookmarkStart w:id="17" w:name="titolo_presidente1"/>
            <w:r>
              <w:rPr>
                <w:color w:val="000000"/>
              </w:rPr>
              <w:t>Sindaco</w:t>
            </w:r>
            <w:bookmarkEnd w:id="17"/>
          </w:p>
          <w:p w:rsidR="008F4EEB">
            <w:pPr>
              <w:pStyle w:val="Standard"/>
              <w:keepNext/>
              <w:keepLines/>
              <w:autoSpaceDE w:val="0"/>
              <w:spacing w:line="240" w:lineRule="atLeast"/>
              <w:ind w:left="50" w:right="50"/>
              <w:jc w:val="center"/>
              <w:rPr>
                <w:color w:val="000000"/>
              </w:rPr>
            </w:pPr>
            <w:bookmarkStart w:id="18" w:name="Firmato"/>
            <w:r>
              <w:rPr>
                <w:color w:val="000000"/>
              </w:rPr>
              <w:t xml:space="preserve"> </w:t>
            </w:r>
            <w:bookmarkEnd w:id="18"/>
            <w:r>
              <w:rPr>
                <w:color w:val="000000"/>
              </w:rPr>
              <w:t xml:space="preserve"> </w:t>
            </w:r>
            <w:bookmarkStart w:id="19" w:name="Nome_presidente1"/>
            <w:r>
              <w:rPr>
                <w:color w:val="000000"/>
              </w:rPr>
              <w:t>Bosso Cinzia Maria</w:t>
            </w:r>
            <w:bookmarkEnd w:id="19"/>
          </w:p>
        </w:tc>
        <w:tc>
          <w:tcPr>
            <w:tcW w:w="481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4EEB">
            <w:pPr>
              <w:pStyle w:val="Standard"/>
              <w:keepLines/>
              <w:autoSpaceDE w:val="0"/>
              <w:spacing w:line="240" w:lineRule="atLeast"/>
              <w:ind w:left="54" w:right="54"/>
              <w:jc w:val="center"/>
              <w:rPr>
                <w:color w:val="000000"/>
              </w:rPr>
            </w:pPr>
            <w:bookmarkStart w:id="20" w:name="TITOLO_1"/>
            <w:r>
              <w:rPr>
                <w:color w:val="000000"/>
              </w:rPr>
              <w:t>Il Segretario Generale</w:t>
            </w:r>
            <w:bookmarkEnd w:id="20"/>
          </w:p>
          <w:p w:rsidR="008F4EEB">
            <w:pPr>
              <w:pStyle w:val="Standard"/>
              <w:keepNext/>
              <w:keepLines/>
              <w:autoSpaceDE w:val="0"/>
              <w:spacing w:line="240" w:lineRule="atLeast"/>
              <w:ind w:left="54" w:right="54"/>
              <w:jc w:val="center"/>
              <w:rPr>
                <w:color w:val="000000"/>
              </w:rPr>
            </w:pPr>
            <w:bookmarkStart w:id="21" w:name="Firmato_1"/>
            <w:r>
              <w:rPr>
                <w:color w:val="000000"/>
              </w:rPr>
              <w:t xml:space="preserve"> </w:t>
            </w:r>
            <w:bookmarkEnd w:id="21"/>
            <w:r>
              <w:rPr>
                <w:color w:val="000000"/>
              </w:rPr>
              <w:t xml:space="preserve"> </w:t>
            </w:r>
            <w:bookmarkStart w:id="22" w:name="Segretario_1"/>
            <w:r>
              <w:rPr>
                <w:color w:val="000000"/>
              </w:rPr>
              <w:t>Dr. Gerlando Luigi Russo</w:t>
            </w:r>
            <w:bookmarkEnd w:id="22"/>
          </w:p>
        </w:tc>
      </w:tr>
    </w:tbl>
    <w:p w:rsidR="008F4EEB">
      <w:pPr>
        <w:pStyle w:val="Standard"/>
        <w:autoSpaceDE w:val="0"/>
        <w:spacing w:line="240" w:lineRule="atLeast"/>
        <w:rPr>
          <w:color w:val="000000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9"/>
      </w:tblGrid>
      <w:tr>
        <w:tblPrEx>
          <w:tblW w:w="9639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832"/>
        </w:trPr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4EEB">
            <w:pPr>
              <w:pStyle w:val="Standard"/>
              <w:keepNext/>
              <w:keepLines/>
              <w:autoSpaceDE w:val="0"/>
              <w:snapToGrid w:val="0"/>
              <w:spacing w:line="240" w:lineRule="atLeast"/>
              <w:jc w:val="center"/>
            </w:pPr>
          </w:p>
          <w:p w:rsidR="008F4EEB">
            <w:pPr>
              <w:pStyle w:val="Standard"/>
              <w:keepLines/>
              <w:autoSpaceDE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CERTIFICATO DI PUBBLICAZIONE</w:t>
            </w:r>
          </w:p>
          <w:p w:rsidR="008F4EEB">
            <w:pPr>
              <w:pStyle w:val="Standard"/>
              <w:keepLines/>
              <w:autoSpaceDE w:val="0"/>
              <w:spacing w:line="240" w:lineRule="atLeast"/>
              <w:jc w:val="both"/>
              <w:rPr>
                <w:color w:val="000000"/>
              </w:rPr>
            </w:pPr>
          </w:p>
          <w:p w:rsidR="008F4EEB">
            <w:pPr>
              <w:pStyle w:val="Standard"/>
              <w:keepLines/>
              <w:autoSpaceDE w:val="0"/>
              <w:spacing w:line="240" w:lineRule="atLeast"/>
              <w:jc w:val="both"/>
            </w:pPr>
            <w:r>
              <w:rPr>
                <w:color w:val="000000"/>
              </w:rPr>
              <w:t xml:space="preserve">La presente deliberazione è stata pubblicata all'Albo Pretorio del Comune per 15 giorni consecutivi con decorrenza dal </w:t>
            </w:r>
            <w:bookmarkStart w:id="23" w:name="GPubblicazioneAPC"/>
            <w:r>
              <w:rPr>
                <w:color w:val="000000"/>
              </w:rPr>
              <w:t>31/10/2023</w:t>
            </w:r>
            <w:bookmarkEnd w:id="23"/>
            <w:r>
              <w:rPr>
                <w:color w:val="000000"/>
              </w:rPr>
              <w:t xml:space="preserve"> </w:t>
            </w:r>
          </w:p>
          <w:p w:rsidR="008F4EEB">
            <w:pPr>
              <w:pStyle w:val="Standard"/>
              <w:keepNext/>
              <w:keepLines/>
              <w:autoSpaceDE w:val="0"/>
              <w:spacing w:line="240" w:lineRule="atLeast"/>
              <w:jc w:val="center"/>
              <w:rPr>
                <w:color w:val="000000"/>
              </w:rPr>
            </w:pPr>
          </w:p>
          <w:p w:rsidR="008F4EEB">
            <w:pPr>
              <w:pStyle w:val="Heading8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Orbassano, lì </w:t>
            </w:r>
            <w:bookmarkStart w:id="24" w:name="GPubblicazioneAPC2"/>
            <w:r>
              <w:rPr>
                <w:b w:val="0"/>
                <w:bCs w:val="0"/>
              </w:rPr>
              <w:t xml:space="preserve"> </w:t>
            </w:r>
            <w:bookmarkEnd w:id="24"/>
            <w:r>
              <w:rPr>
                <w:b w:val="0"/>
                <w:bCs w:val="0"/>
              </w:rPr>
              <w:t xml:space="preserve"> </w:t>
            </w:r>
          </w:p>
          <w:p w:rsidR="008F4EEB">
            <w:pPr>
              <w:pStyle w:val="Standard"/>
              <w:keepNext/>
              <w:keepLines/>
              <w:autoSpaceDE w:val="0"/>
              <w:spacing w:line="240" w:lineRule="atLeast"/>
              <w:jc w:val="center"/>
              <w:rPr>
                <w:color w:val="000000"/>
              </w:rPr>
            </w:pPr>
          </w:p>
          <w:p w:rsidR="008F4EEB">
            <w:pPr>
              <w:pStyle w:val="Standard"/>
              <w:keepLines/>
              <w:autoSpaceDE w:val="0"/>
              <w:spacing w:line="240" w:lineRule="atLeast"/>
              <w:ind w:left="4763"/>
              <w:jc w:val="center"/>
              <w:rPr>
                <w:color w:val="000000"/>
              </w:rPr>
            </w:pPr>
            <w:bookmarkStart w:id="25" w:name="TitoloPubblica"/>
            <w:r>
              <w:rPr>
                <w:color w:val="000000"/>
              </w:rPr>
              <w:t>Il Segretario Generale</w:t>
            </w:r>
            <w:bookmarkEnd w:id="25"/>
            <w:r>
              <w:rPr>
                <w:color w:val="000000"/>
              </w:rPr>
              <w:t xml:space="preserve"> </w:t>
            </w:r>
          </w:p>
          <w:p w:rsidR="008F4EEB">
            <w:pPr>
              <w:pStyle w:val="Standard"/>
              <w:keepLines/>
              <w:autoSpaceDE w:val="0"/>
              <w:spacing w:line="240" w:lineRule="atLeast"/>
              <w:ind w:left="4763"/>
              <w:jc w:val="center"/>
            </w:pPr>
            <w:bookmarkStart w:id="26" w:name="Firmato_2"/>
            <w:r>
              <w:rPr>
                <w:bCs/>
                <w:color w:val="000000"/>
              </w:rPr>
              <w:t xml:space="preserve"> </w:t>
            </w:r>
            <w:bookmarkEnd w:id="26"/>
            <w:r>
              <w:rPr>
                <w:bCs/>
                <w:color w:val="000000"/>
              </w:rPr>
              <w:t xml:space="preserve"> </w:t>
            </w:r>
            <w:bookmarkStart w:id="27" w:name="ChiPubblica"/>
            <w:r>
              <w:rPr>
                <w:bCs/>
                <w:color w:val="000000"/>
              </w:rPr>
              <w:t>Dr. Gerlando Luigi Russo</w:t>
            </w:r>
            <w:bookmarkEnd w:id="27"/>
            <w:r>
              <w:rPr>
                <w:bCs/>
                <w:color w:val="000000"/>
              </w:rPr>
              <w:t xml:space="preserve"> </w:t>
            </w:r>
          </w:p>
        </w:tc>
      </w:tr>
      <w:tr>
        <w:tblPrEx>
          <w:tblW w:w="9639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9639" w:type="dxa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4EEB">
            <w:pPr>
              <w:pStyle w:val="Standard"/>
              <w:keepLines/>
              <w:autoSpaceDE w:val="0"/>
              <w:spacing w:line="240" w:lineRule="atLeast"/>
              <w:rPr>
                <w:color w:val="000000"/>
              </w:rPr>
            </w:pPr>
          </w:p>
        </w:tc>
      </w:tr>
      <w:tr>
        <w:tblPrEx>
          <w:tblW w:w="9639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EEB">
            <w:pPr>
              <w:pStyle w:val="Standard"/>
              <w:keepLines/>
              <w:autoSpaceDE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DICHIARAZIONE DI ESECUTIVITA'</w:t>
            </w:r>
          </w:p>
          <w:p w:rsidR="008F4EEB">
            <w:pPr>
              <w:pStyle w:val="Standard"/>
              <w:keepLines/>
              <w:autoSpaceDE w:val="0"/>
              <w:spacing w:line="240" w:lineRule="atLeast"/>
              <w:rPr>
                <w:b/>
                <w:bCs/>
                <w:color w:val="000000"/>
              </w:rPr>
            </w:pPr>
          </w:p>
          <w:p w:rsidR="008F4EEB">
            <w:pPr>
              <w:pStyle w:val="Standard"/>
              <w:keepLines/>
              <w:autoSpaceDE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Il sottoscritto Segretario Comunale visti gli atti di ufficio</w:t>
            </w:r>
          </w:p>
          <w:p w:rsidR="008F4EEB">
            <w:pPr>
              <w:pStyle w:val="Standard"/>
              <w:keepLines/>
              <w:autoSpaceDE w:val="0"/>
              <w:spacing w:line="240" w:lineRule="atLeast"/>
              <w:rPr>
                <w:color w:val="000000"/>
              </w:rPr>
            </w:pPr>
          </w:p>
          <w:p w:rsidR="008F4EEB">
            <w:pPr>
              <w:pStyle w:val="Standard"/>
              <w:keepLines/>
              <w:autoSpaceDE w:val="0"/>
              <w:spacing w:line="240" w:lineRule="atLeast"/>
              <w:jc w:val="center"/>
            </w:pPr>
            <w:r>
              <w:t>ATTESTA</w:t>
            </w:r>
          </w:p>
          <w:p w:rsidR="008F4EEB">
            <w:pPr>
              <w:pStyle w:val="Standard"/>
              <w:keepLines/>
              <w:autoSpaceDE w:val="0"/>
              <w:spacing w:line="240" w:lineRule="atLeast"/>
              <w:jc w:val="center"/>
              <w:rPr>
                <w:b/>
                <w:bCs/>
                <w:color w:val="000000"/>
              </w:rPr>
            </w:pPr>
          </w:p>
          <w:p w:rsidR="008F4EEB">
            <w:pPr>
              <w:pStyle w:val="Standard"/>
              <w:keepLines/>
              <w:autoSpaceDE w:val="0"/>
              <w:spacing w:line="240" w:lineRule="atLeast"/>
            </w:pPr>
            <w:r>
              <w:rPr>
                <w:color w:val="000000"/>
              </w:rPr>
              <w:t xml:space="preserve">-        che la presente deliberazione </w:t>
            </w:r>
            <w:r>
              <w:t xml:space="preserve">è stata comunicata in data </w:t>
            </w:r>
            <w:bookmarkStart w:id="28" w:name="GPubblicazioneAPC_1"/>
            <w:r>
              <w:t>31/10/2023</w:t>
            </w:r>
            <w:bookmarkEnd w:id="28"/>
            <w:r>
              <w:t xml:space="preserve"> ai signori capigruppo consiliari così come prescritto dall’articolo 125 del  D.Lgs. n. 267 del 18 agosto 2000.</w:t>
            </w:r>
          </w:p>
          <w:p w:rsidR="008F4EEB">
            <w:pPr>
              <w:pStyle w:val="Standard"/>
              <w:keepLines/>
              <w:autoSpaceDE w:val="0"/>
              <w:spacing w:line="240" w:lineRule="atLeast"/>
              <w:rPr>
                <w:color w:val="000000"/>
              </w:rPr>
            </w:pPr>
          </w:p>
          <w:p w:rsidR="008F4EEB">
            <w:pPr>
              <w:pStyle w:val="Standard"/>
              <w:keepLines/>
              <w:autoSpaceDE w:val="0"/>
              <w:spacing w:line="240" w:lineRule="atLeast"/>
            </w:pPr>
            <w:r>
              <w:t xml:space="preserve">- che la presente deliberazione è divenuta esecutiva il giorno </w:t>
            </w:r>
            <w:bookmarkStart w:id="29" w:name="Data_EsecC"/>
            <w:r>
              <w:t>10/11/2023</w:t>
            </w:r>
            <w:bookmarkEnd w:id="29"/>
            <w:r>
              <w:t xml:space="preserve"> decorsi 10 giorni dalla pubblicazione (D.Lgs. 267/00 art. 134, comma 3)</w:t>
            </w:r>
          </w:p>
          <w:p w:rsidR="008F4EEB">
            <w:pPr>
              <w:pStyle w:val="Standard"/>
              <w:keepLines/>
              <w:autoSpaceDE w:val="0"/>
              <w:spacing w:line="240" w:lineRule="atLeast"/>
              <w:rPr>
                <w:color w:val="000000"/>
              </w:rPr>
            </w:pPr>
          </w:p>
          <w:p w:rsidR="008F4EEB">
            <w:pPr>
              <w:pStyle w:val="Standard"/>
              <w:keepLines/>
              <w:autoSpaceDE w:val="0"/>
              <w:spacing w:line="240" w:lineRule="atLeast"/>
              <w:rPr>
                <w:color w:val="000000"/>
              </w:rPr>
            </w:pPr>
          </w:p>
          <w:p w:rsidR="008F4EEB">
            <w:pPr>
              <w:pStyle w:val="Standard"/>
              <w:keepLines/>
              <w:autoSpaceDE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Orbassano, lì </w:t>
            </w:r>
            <w:bookmarkStart w:id="30" w:name="GPubblicazioneAPC1"/>
            <w:r>
              <w:rPr>
                <w:color w:val="000000"/>
              </w:rPr>
              <w:t xml:space="preserve"> </w:t>
            </w:r>
            <w:bookmarkEnd w:id="30"/>
            <w:r>
              <w:rPr>
                <w:color w:val="000000"/>
              </w:rPr>
              <w:t xml:space="preserve"> </w:t>
            </w:r>
          </w:p>
          <w:p w:rsidR="008F4EEB">
            <w:pPr>
              <w:pStyle w:val="Standard"/>
              <w:keepNext/>
              <w:keepLines/>
              <w:autoSpaceDE w:val="0"/>
              <w:spacing w:line="240" w:lineRule="atLeast"/>
              <w:ind w:left="4905"/>
              <w:jc w:val="center"/>
              <w:rPr>
                <w:color w:val="000000"/>
              </w:rPr>
            </w:pPr>
            <w:bookmarkStart w:id="31" w:name="TitoloEsec"/>
            <w:r>
              <w:rPr>
                <w:color w:val="000000"/>
              </w:rPr>
              <w:t>Il Segretario Generale</w:t>
            </w:r>
            <w:bookmarkEnd w:id="31"/>
            <w:r>
              <w:rPr>
                <w:color w:val="000000"/>
              </w:rPr>
              <w:t xml:space="preserve"> </w:t>
            </w:r>
          </w:p>
          <w:p w:rsidR="008F4EEB">
            <w:pPr>
              <w:pStyle w:val="Standard"/>
              <w:keepNext/>
              <w:keepLines/>
              <w:autoSpaceDE w:val="0"/>
              <w:spacing w:line="240" w:lineRule="atLeast"/>
              <w:ind w:left="4905"/>
              <w:jc w:val="center"/>
              <w:rPr>
                <w:color w:val="000000"/>
              </w:rPr>
            </w:pPr>
            <w:bookmarkStart w:id="32" w:name="FirmaEsec"/>
            <w:r>
              <w:rPr>
                <w:color w:val="000000"/>
              </w:rPr>
              <w:t>Dr. Gerlando Luigi Russo</w:t>
            </w:r>
            <w:bookmarkEnd w:id="32"/>
            <w:r>
              <w:rPr>
                <w:color w:val="000000"/>
              </w:rPr>
              <w:t xml:space="preserve"> </w:t>
            </w:r>
          </w:p>
          <w:p w:rsidR="008F4EEB">
            <w:pPr>
              <w:pStyle w:val="Standard"/>
              <w:keepLines/>
              <w:autoSpaceDE w:val="0"/>
              <w:spacing w:before="120" w:line="240" w:lineRule="atLeast"/>
              <w:rPr>
                <w:color w:val="000000"/>
              </w:rPr>
            </w:pPr>
          </w:p>
          <w:p w:rsidR="008F4EEB">
            <w:pPr>
              <w:pStyle w:val="Standard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before="120" w:line="240" w:lineRule="atLeast"/>
              <w:rPr>
                <w:color w:val="000000"/>
              </w:rPr>
            </w:pPr>
          </w:p>
        </w:tc>
      </w:tr>
    </w:tbl>
    <w:p w:rsidR="008F4EEB">
      <w:pPr>
        <w:pStyle w:val="Standard"/>
        <w:keepLines/>
        <w:autoSpaceDE w:val="0"/>
        <w:spacing w:line="240" w:lineRule="atLeast"/>
        <w:rPr>
          <w:color w:val="000000"/>
        </w:rPr>
      </w:pPr>
      <w:bookmarkStart w:id="33" w:name="CopiaConforme"/>
      <w:r>
        <w:rPr>
          <w:color w:val="000000"/>
        </w:rPr>
        <w:t xml:space="preserve">  </w:t>
      </w:r>
      <w:bookmarkEnd w:id="33"/>
    </w:p>
    <w:p w:rsidR="008F4EEB">
      <w:pPr>
        <w:pStyle w:val="Standard"/>
      </w:pPr>
    </w:p>
    <w:p w:rsidR="008F4EEB">
      <w:pPr>
        <w:pStyle w:val="Standard"/>
      </w:pPr>
      <w:bookmarkStart w:id="34" w:name="Luogo_Copia"/>
      <w:r>
        <w:t xml:space="preserve"> </w:t>
      </w:r>
      <w:bookmarkEnd w:id="34"/>
      <w:r>
        <w:t xml:space="preserve"> </w:t>
      </w:r>
      <w:bookmarkStart w:id="35" w:name="Data_copia"/>
      <w:r>
        <w:t xml:space="preserve"> </w:t>
      </w:r>
      <w:bookmarkEnd w:id="35"/>
    </w:p>
    <w:p w:rsidR="008F4EEB">
      <w:pPr>
        <w:pStyle w:val="Standard"/>
        <w:keepLines/>
        <w:autoSpaceDE w:val="0"/>
        <w:spacing w:line="240" w:lineRule="atLeast"/>
        <w:ind w:left="4905"/>
        <w:jc w:val="center"/>
        <w:rPr>
          <w:color w:val="000000"/>
        </w:rPr>
      </w:pPr>
      <w:bookmarkStart w:id="36" w:name="CopiaTitolo"/>
      <w:r>
        <w:rPr>
          <w:color w:val="000000"/>
        </w:rPr>
        <w:t xml:space="preserve"> </w:t>
      </w:r>
      <w:bookmarkEnd w:id="36"/>
      <w:r>
        <w:rPr>
          <w:color w:val="000000"/>
        </w:rPr>
        <w:t xml:space="preserve"> </w:t>
      </w:r>
    </w:p>
    <w:p w:rsidR="008F4EEB">
      <w:pPr>
        <w:pStyle w:val="Standard"/>
        <w:keepLines/>
        <w:autoSpaceDE w:val="0"/>
        <w:spacing w:line="240" w:lineRule="atLeast"/>
        <w:ind w:left="4905"/>
        <w:jc w:val="center"/>
        <w:rPr>
          <w:color w:val="000000"/>
        </w:rPr>
      </w:pPr>
      <w:bookmarkStart w:id="37" w:name="FirmaCopia"/>
      <w:r>
        <w:rPr>
          <w:color w:val="000000"/>
        </w:rPr>
        <w:t xml:space="preserve"> </w:t>
      </w:r>
      <w:bookmarkEnd w:id="37"/>
      <w:r>
        <w:rPr>
          <w:color w:val="000000"/>
        </w:rPr>
        <w:t xml:space="preserve"> </w:t>
      </w:r>
    </w:p>
    <w:p w:rsidR="008F4EEB">
      <w:pPr>
        <w:pStyle w:val="Standard"/>
        <w:keepLines/>
        <w:autoSpaceDE w:val="0"/>
        <w:spacing w:line="240" w:lineRule="atLeast"/>
        <w:jc w:val="center"/>
        <w:rPr>
          <w:color w:val="000000"/>
        </w:rPr>
      </w:pPr>
    </w:p>
    <w:sectPr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00"/>
    <w:family w:val="roman"/>
    <w:pitch w:val="fixed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B775FB"/>
    <w:multiLevelType w:val="multilevel"/>
    <w:tmpl w:val="CC14ADE0"/>
    <w:styleLink w:val="WW8Num1"/>
    <w:lvl w:ilvl="0">
      <w:start w:val="0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14B775FC"/>
    <w:multiLevelType w:val="hybridMultilevel"/>
    <w:tmpl w:val="35F6A422"/>
    <w:lvl w:ilvl="0">
      <w:start w:val="0"/>
      <w:numFmt w:val="bullet"/>
      <w:lvlText w:val="-"/>
      <w:lvlJc w:val="left"/>
      <w:pPr>
        <w:ind w:left="720" w:hanging="360"/>
      </w:pPr>
      <w:rPr>
        <w:rFonts w:ascii="Bookman Old Style" w:eastAsia="MS Mincho" w:hAnsi="Bookman Old Style" w:cs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775FD"/>
    <w:multiLevelType w:val="hybridMultilevel"/>
    <w:tmpl w:val="944836BA"/>
    <w:lvl w:ilvl="0">
      <w:start w:val="0"/>
      <w:numFmt w:val="bullet"/>
      <w:lvlText w:val="-"/>
      <w:lvlJc w:val="left"/>
      <w:pPr>
        <w:ind w:left="720" w:hanging="360"/>
      </w:pPr>
      <w:rPr>
        <w:rFonts w:ascii="Bookman Old Style" w:eastAsia="MS Mincho" w:hAnsi="Bookman Old Style" w:cs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775FE"/>
    <w:multiLevelType w:val="multilevel"/>
    <w:tmpl w:val="0E1CAA3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)"/>
      <w:lvlJc w:val="left"/>
      <w:pPr>
        <w:ind w:left="502" w:hanging="360"/>
      </w:pPr>
      <w:rPr>
        <w:rFonts w:ascii="Bookman Old Style" w:eastAsia="Times New Roman" w:hAnsi="Bookman Old Style" w:cs="Bookman Old Style"/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4B775FF"/>
    <w:multiLevelType w:val="multilevel"/>
    <w:tmpl w:val="45F64A8E"/>
    <w:styleLink w:val="LS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">
    <w:nsid w:val="14B77600"/>
    <w:multiLevelType w:val="multilevel"/>
    <w:tmpl w:val="FB64B2B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)"/>
      <w:lvlJc w:val="left"/>
      <w:pPr>
        <w:ind w:left="502" w:hanging="360"/>
      </w:pPr>
      <w:rPr>
        <w:rFonts w:ascii="Bookman Old Style" w:eastAsia="Times New Roman" w:hAnsi="Bookman Old Style" w:cs="Bookman Old Style"/>
        <w:b/>
      </w:rPr>
    </w:lvl>
    <w:lvl w:ilvl="2">
      <w:start w:val="0"/>
      <w:numFmt w:val="bullet"/>
      <w:lvlText w:val="-"/>
      <w:lvlJc w:val="left"/>
      <w:pPr>
        <w:ind w:left="2160" w:hanging="360"/>
      </w:pPr>
      <w:rPr>
        <w:rFonts w:ascii="Palatino Linotype" w:eastAsia="Times New Roman" w:hAnsi="Palatino Linotype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1D1"/>
    <w:pPr>
      <w:jc w:val="both"/>
    </w:pPr>
    <w:rPr>
      <w:rFonts w:ascii="Bookman Old Style" w:hAnsi="Bookman Old Style"/>
    </w:rPr>
  </w:style>
  <w:style w:type="paragraph" w:styleId="Heading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Standard"/>
    <w:next w:val="Standard"/>
    <w:uiPriority w:val="9"/>
    <w:unhideWhenUsed/>
    <w:qFormat/>
    <w:pPr>
      <w:keepNext/>
      <w:outlineLvl w:val="2"/>
    </w:pPr>
    <w:rPr>
      <w:b/>
      <w:bCs/>
    </w:rPr>
  </w:style>
  <w:style w:type="paragraph" w:styleId="Heading4">
    <w:name w:val="heading 4"/>
    <w:basedOn w:val="Standard"/>
    <w:next w:val="Standard"/>
    <w:uiPriority w:val="9"/>
    <w:unhideWhenUsed/>
    <w:qFormat/>
    <w:pPr>
      <w:keepNext/>
      <w:outlineLvl w:val="3"/>
    </w:pPr>
    <w:rPr>
      <w:i/>
      <w:iCs/>
      <w:color w:val="99CC00"/>
    </w:rPr>
  </w:style>
  <w:style w:type="paragraph" w:styleId="Heading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Standard"/>
    <w:next w:val="Standard"/>
    <w:uiPriority w:val="9"/>
    <w:unhideWhenUsed/>
    <w:qFormat/>
    <w:pPr>
      <w:keepNext/>
      <w:jc w:val="center"/>
      <w:outlineLvl w:val="5"/>
    </w:pPr>
  </w:style>
  <w:style w:type="paragraph" w:styleId="Heading7">
    <w:name w:val="heading 7"/>
    <w:basedOn w:val="Standard"/>
    <w:next w:val="Standard"/>
    <w:pPr>
      <w:keepNext/>
      <w:outlineLvl w:val="6"/>
    </w:pPr>
  </w:style>
  <w:style w:type="paragraph" w:styleId="Heading8">
    <w:name w:val="heading 8"/>
    <w:basedOn w:val="Standard"/>
    <w:next w:val="Standard"/>
    <w:pPr>
      <w:keepNext/>
      <w:jc w:val="right"/>
      <w:outlineLvl w:val="7"/>
    </w:pPr>
    <w:rPr>
      <w:b/>
      <w:bCs/>
    </w:rPr>
  </w:style>
  <w:style w:type="paragraph" w:styleId="Heading9">
    <w:name w:val="heading 9"/>
    <w:basedOn w:val="Standard"/>
    <w:next w:val="Standard"/>
    <w:pPr>
      <w:keepNext/>
      <w:keepLines/>
      <w:autoSpaceDE w:val="0"/>
      <w:spacing w:line="240" w:lineRule="atLeast"/>
      <w:outlineLvl w:val="8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Bookman Old Style" w:eastAsia="Times New Roman" w:hAnsi="Bookman Old Style" w:cs="Bookman Old Style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32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">
    <w:name w:val="Text"/>
    <w:basedOn w:val="Caption"/>
    <w:pPr>
      <w:jc w:val="both"/>
    </w:pPr>
    <w:rPr>
      <w:i w:val="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Bookman Old Style" w:eastAsia="Times New Roman" w:hAnsi="Bookman Old Style" w:cs="Times New Roman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  <w:rPr>
      <w:rFonts w:ascii="Courier New" w:eastAsia="Courier New" w:hAnsi="Courier New" w:cs="Courier New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ListParagraph">
    <w:name w:val="List Paragraph"/>
    <w:basedOn w:val="Normal"/>
    <w:rsid w:val="0022744B"/>
    <w:pPr>
      <w:widowControl/>
      <w:overflowPunct w:val="0"/>
      <w:ind w:left="720"/>
      <w:jc w:val="left"/>
    </w:pPr>
    <w:rPr>
      <w:rFonts w:ascii="Times New Roman" w:hAnsi="Times New Roman"/>
      <w:lang w:eastAsia="it-IT" w:bidi="ar-SA"/>
    </w:rPr>
  </w:style>
  <w:style w:type="paragraph" w:customStyle="1" w:styleId="WW-Predefinito">
    <w:name w:val="WW-Predefinito"/>
    <w:rsid w:val="0022744B"/>
    <w:rPr>
      <w:rFonts w:ascii="Cambria" w:eastAsia="NSimSun" w:hAnsi="Cambria" w:cs="Cambria"/>
      <w:color w:val="000000"/>
      <w:u w:val="single" w:color="000000"/>
      <w:lang w:bidi="ar-SA"/>
    </w:rPr>
  </w:style>
  <w:style w:type="numbering" w:customStyle="1" w:styleId="LS12">
    <w:name w:val="LS12"/>
    <w:basedOn w:val="NoList"/>
    <w:rsid w:val="0022744B"/>
    <w:pPr>
      <w:numPr>
        <w:numId w:val="7"/>
      </w:numPr>
    </w:pPr>
  </w:style>
  <w:style w:type="paragraph" w:customStyle="1" w:styleId="Paragrafoelenco">
    <w:name w:val="Paragrafoelenco"/>
    <w:basedOn w:val="Normal"/>
    <w:rsid w:val="0022744B"/>
    <w:pPr>
      <w:widowControl/>
      <w:overflowPunct w:val="0"/>
      <w:ind w:left="720"/>
      <w:jc w:val="left"/>
    </w:pPr>
    <w:rPr>
      <w:rFonts w:ascii="Times New Roman" w:hAnsi="Times New Roman"/>
      <w:szCs w:val="21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2020</Words>
  <Characters>11515</Characters>
  <Application>Microsoft Office Word</Application>
  <DocSecurity>0</DocSecurity>
  <Lines>95</Lines>
  <Paragraphs>27</Paragraphs>
  <ScaleCrop>false</ScaleCrop>
  <Company/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Nome_Comune</dc:title>
  <dc:creator>Piovani</dc:creator>
  <cp:lastModifiedBy>Romina Prete</cp:lastModifiedBy>
  <cp:revision>7</cp:revision>
  <dcterms:created xsi:type="dcterms:W3CDTF">2023-06-09T11:51:00Z</dcterms:created>
  <dcterms:modified xsi:type="dcterms:W3CDTF">2023-10-30T13:39:00Z</dcterms:modified>
</cp:coreProperties>
</file>